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1CC2" w14:textId="6A4225ED" w:rsidR="0043192F" w:rsidRDefault="000E01CA" w:rsidP="000E01CA">
      <w:pPr>
        <w:jc w:val="center"/>
        <w:rPr>
          <w:rFonts w:ascii="Times New Roman" w:hAnsi="Times New Roman" w:cs="Times New Roman"/>
          <w:b/>
          <w:bCs/>
        </w:rPr>
      </w:pPr>
      <w:r w:rsidRPr="00B26DAA">
        <w:rPr>
          <w:rFonts w:ascii="Times New Roman" w:hAnsi="Times New Roman" w:cs="Times New Roman"/>
          <w:b/>
          <w:bCs/>
        </w:rPr>
        <w:t>MedPAC June 2023 Report to Congress</w:t>
      </w:r>
    </w:p>
    <w:p w14:paraId="0C70E995" w14:textId="77777777" w:rsidR="00B26DAA" w:rsidRDefault="00B26DAA" w:rsidP="000E01CA">
      <w:pPr>
        <w:jc w:val="center"/>
        <w:rPr>
          <w:rFonts w:ascii="Times New Roman" w:hAnsi="Times New Roman" w:cs="Times New Roman"/>
          <w:b/>
          <w:bCs/>
        </w:rPr>
      </w:pPr>
    </w:p>
    <w:p w14:paraId="74017696" w14:textId="175C9C17" w:rsidR="002A7099" w:rsidRPr="00023AB7" w:rsidRDefault="00B26DAA" w:rsidP="00B26DAA">
      <w:pPr>
        <w:rPr>
          <w:rFonts w:ascii="Times New Roman" w:hAnsi="Times New Roman" w:cs="Times New Roman"/>
          <w:b/>
          <w:bCs/>
        </w:rPr>
      </w:pPr>
      <w:r>
        <w:rPr>
          <w:rFonts w:ascii="Times New Roman" w:hAnsi="Times New Roman" w:cs="Times New Roman"/>
          <w:b/>
          <w:bCs/>
        </w:rPr>
        <w:t xml:space="preserve">Chapter </w:t>
      </w:r>
      <w:r w:rsidR="003D60E4">
        <w:rPr>
          <w:rFonts w:ascii="Times New Roman" w:hAnsi="Times New Roman" w:cs="Times New Roman"/>
          <w:b/>
          <w:bCs/>
        </w:rPr>
        <w:t>3</w:t>
      </w:r>
      <w:r>
        <w:rPr>
          <w:rFonts w:ascii="Times New Roman" w:hAnsi="Times New Roman" w:cs="Times New Roman"/>
          <w:b/>
          <w:bCs/>
        </w:rPr>
        <w:t>:</w:t>
      </w:r>
      <w:r w:rsidR="00742319">
        <w:rPr>
          <w:rFonts w:ascii="Times New Roman" w:hAnsi="Times New Roman" w:cs="Times New Roman"/>
          <w:b/>
          <w:bCs/>
        </w:rPr>
        <w:t xml:space="preserve"> Standardized benefits in Medicare Advantage plans</w:t>
      </w:r>
    </w:p>
    <w:p w14:paraId="6A9F772A" w14:textId="5AE86F14" w:rsidR="0091640A" w:rsidRDefault="00966674" w:rsidP="00994C2F">
      <w:pPr>
        <w:rPr>
          <w:rFonts w:ascii="Times New Roman" w:hAnsi="Times New Roman" w:cs="Times New Roman"/>
        </w:rPr>
      </w:pPr>
      <w:r>
        <w:rPr>
          <w:rFonts w:ascii="Times New Roman" w:hAnsi="Times New Roman" w:cs="Times New Roman"/>
        </w:rPr>
        <w:t xml:space="preserve">Medicare beneficiaries have an average of 41 MA plans offered by an average of 8 </w:t>
      </w:r>
      <w:r w:rsidR="00200642">
        <w:rPr>
          <w:rFonts w:ascii="Times New Roman" w:hAnsi="Times New Roman" w:cs="Times New Roman"/>
        </w:rPr>
        <w:t>in</w:t>
      </w:r>
      <w:r>
        <w:rPr>
          <w:rFonts w:ascii="Times New Roman" w:hAnsi="Times New Roman" w:cs="Times New Roman"/>
        </w:rPr>
        <w:t xml:space="preserve">surers </w:t>
      </w:r>
      <w:r w:rsidR="00DF7839">
        <w:rPr>
          <w:rFonts w:ascii="Times New Roman" w:hAnsi="Times New Roman" w:cs="Times New Roman"/>
        </w:rPr>
        <w:t xml:space="preserve">available for this year. </w:t>
      </w:r>
      <w:r w:rsidR="00062D85">
        <w:rPr>
          <w:rFonts w:ascii="Times New Roman" w:hAnsi="Times New Roman" w:cs="Times New Roman"/>
        </w:rPr>
        <w:t>Selecting a plan can prove difficult for beneficiaries</w:t>
      </w:r>
      <w:r w:rsidR="006E0595">
        <w:rPr>
          <w:rFonts w:ascii="Times New Roman" w:hAnsi="Times New Roman" w:cs="Times New Roman"/>
        </w:rPr>
        <w:t>, as plans differ in many ways such as premiums, cost-sharing rules, provider networks, supplemental benefits, covered drugs, and quality.</w:t>
      </w:r>
      <w:r w:rsidR="006D00AD">
        <w:rPr>
          <w:rFonts w:ascii="Times New Roman" w:hAnsi="Times New Roman" w:cs="Times New Roman"/>
        </w:rPr>
        <w:t xml:space="preserve"> </w:t>
      </w:r>
      <w:r w:rsidR="00A96588">
        <w:rPr>
          <w:rFonts w:ascii="Times New Roman" w:hAnsi="Times New Roman" w:cs="Times New Roman"/>
        </w:rPr>
        <w:t>Standardization of MA benefits</w:t>
      </w:r>
      <w:r w:rsidR="00D86C62">
        <w:rPr>
          <w:rFonts w:ascii="Times New Roman" w:hAnsi="Times New Roman" w:cs="Times New Roman"/>
        </w:rPr>
        <w:t xml:space="preserve"> </w:t>
      </w:r>
      <w:r w:rsidR="009B5FEE">
        <w:rPr>
          <w:rFonts w:ascii="Times New Roman" w:hAnsi="Times New Roman" w:cs="Times New Roman"/>
        </w:rPr>
        <w:t>(</w:t>
      </w:r>
      <w:r w:rsidR="00D86C62">
        <w:rPr>
          <w:rFonts w:ascii="Times New Roman" w:hAnsi="Times New Roman" w:cs="Times New Roman"/>
        </w:rPr>
        <w:t>the set of services covered by the plan and the cost sharing that the plan’s enrollees pay for those services</w:t>
      </w:r>
      <w:r w:rsidR="009B5FEE">
        <w:rPr>
          <w:rFonts w:ascii="Times New Roman" w:hAnsi="Times New Roman" w:cs="Times New Roman"/>
        </w:rPr>
        <w:t>)</w:t>
      </w:r>
      <w:r w:rsidR="00A96588">
        <w:rPr>
          <w:rFonts w:ascii="Times New Roman" w:hAnsi="Times New Roman" w:cs="Times New Roman"/>
        </w:rPr>
        <w:t xml:space="preserve"> would allow for beneficiaries to compare plans more easil</w:t>
      </w:r>
      <w:r w:rsidR="00144EC8">
        <w:rPr>
          <w:rFonts w:ascii="Times New Roman" w:hAnsi="Times New Roman" w:cs="Times New Roman"/>
        </w:rPr>
        <w:t>y.</w:t>
      </w:r>
      <w:r w:rsidR="005A6D5C">
        <w:rPr>
          <w:rFonts w:ascii="Times New Roman" w:hAnsi="Times New Roman" w:cs="Times New Roman"/>
        </w:rPr>
        <w:t xml:space="preserve"> This has been used in other markets, such as Medigap</w:t>
      </w:r>
      <w:r w:rsidR="00C87729">
        <w:rPr>
          <w:rFonts w:ascii="Times New Roman" w:hAnsi="Times New Roman" w:cs="Times New Roman"/>
        </w:rPr>
        <w:t xml:space="preserve"> since 1992</w:t>
      </w:r>
      <w:r w:rsidR="00975AD2">
        <w:rPr>
          <w:rFonts w:ascii="Times New Roman" w:hAnsi="Times New Roman" w:cs="Times New Roman"/>
        </w:rPr>
        <w:t xml:space="preserve"> and the ACA’s health insurance exchanges</w:t>
      </w:r>
      <w:r w:rsidR="00C87729">
        <w:rPr>
          <w:rFonts w:ascii="Times New Roman" w:hAnsi="Times New Roman" w:cs="Times New Roman"/>
        </w:rPr>
        <w:t xml:space="preserve"> starting in 2023</w:t>
      </w:r>
      <w:r w:rsidR="00975AD2">
        <w:rPr>
          <w:rFonts w:ascii="Times New Roman" w:hAnsi="Times New Roman" w:cs="Times New Roman"/>
        </w:rPr>
        <w:t>.</w:t>
      </w:r>
      <w:r w:rsidR="00144EC8">
        <w:rPr>
          <w:rFonts w:ascii="Times New Roman" w:hAnsi="Times New Roman" w:cs="Times New Roman"/>
        </w:rPr>
        <w:t xml:space="preserve"> </w:t>
      </w:r>
      <w:r w:rsidR="00052FF1" w:rsidRPr="00052FF1">
        <w:rPr>
          <w:rFonts w:ascii="Times New Roman" w:hAnsi="Times New Roman" w:cs="Times New Roman"/>
        </w:rPr>
        <w:t>Requiring MA insurers to modify their plan designs to standardize could lead to some disruption in the market.</w:t>
      </w:r>
    </w:p>
    <w:p w14:paraId="04F9C098" w14:textId="77777777" w:rsidR="0091640A" w:rsidRDefault="0091640A" w:rsidP="00994C2F">
      <w:pPr>
        <w:rPr>
          <w:rFonts w:ascii="Times New Roman" w:hAnsi="Times New Roman" w:cs="Times New Roman"/>
        </w:rPr>
      </w:pPr>
    </w:p>
    <w:p w14:paraId="48933361" w14:textId="77777777" w:rsidR="00052FF1" w:rsidRDefault="00EE6773" w:rsidP="0042305A">
      <w:pPr>
        <w:rPr>
          <w:rFonts w:ascii="Times New Roman" w:hAnsi="Times New Roman" w:cs="Times New Roman"/>
        </w:rPr>
      </w:pPr>
      <w:r>
        <w:rPr>
          <w:rFonts w:ascii="Times New Roman" w:hAnsi="Times New Roman" w:cs="Times New Roman"/>
        </w:rPr>
        <w:t xml:space="preserve">Since </w:t>
      </w:r>
      <w:r w:rsidR="009D452B">
        <w:rPr>
          <w:rFonts w:ascii="Times New Roman" w:hAnsi="Times New Roman" w:cs="Times New Roman"/>
        </w:rPr>
        <w:t xml:space="preserve">MA plans are required to cover Part A and Part B services </w:t>
      </w:r>
      <w:r w:rsidR="008A487F">
        <w:rPr>
          <w:rFonts w:ascii="Times New Roman" w:hAnsi="Times New Roman" w:cs="Times New Roman"/>
        </w:rPr>
        <w:t xml:space="preserve">but have flexibility </w:t>
      </w:r>
      <w:r w:rsidR="00C302FD">
        <w:rPr>
          <w:rFonts w:ascii="Times New Roman" w:hAnsi="Times New Roman" w:cs="Times New Roman"/>
        </w:rPr>
        <w:t>to determine which supplemental benefits to cover, policymakers would likely want to use different approaches to standardize the two types of benefits</w:t>
      </w:r>
      <w:r w:rsidR="00EF27C9">
        <w:rPr>
          <w:rFonts w:ascii="Times New Roman" w:hAnsi="Times New Roman" w:cs="Times New Roman"/>
        </w:rPr>
        <w:t>.</w:t>
      </w:r>
      <w:r w:rsidR="00052FF1">
        <w:rPr>
          <w:rFonts w:ascii="Times New Roman" w:hAnsi="Times New Roman" w:cs="Times New Roman"/>
        </w:rPr>
        <w:t xml:space="preserve"> </w:t>
      </w:r>
      <w:r w:rsidR="0020127F">
        <w:rPr>
          <w:rFonts w:ascii="Times New Roman" w:hAnsi="Times New Roman" w:cs="Times New Roman"/>
        </w:rPr>
        <w:t xml:space="preserve">Standardization </w:t>
      </w:r>
      <w:r w:rsidR="00E43EC2">
        <w:rPr>
          <w:rFonts w:ascii="Times New Roman" w:hAnsi="Times New Roman" w:cs="Times New Roman"/>
        </w:rPr>
        <w:t xml:space="preserve">would be limited to changes in enrollee cost sharing, which would likely involve </w:t>
      </w:r>
      <w:r w:rsidR="002E2021">
        <w:rPr>
          <w:rFonts w:ascii="Times New Roman" w:hAnsi="Times New Roman" w:cs="Times New Roman"/>
        </w:rPr>
        <w:t>the development of a limited number of distinct benefit packages.</w:t>
      </w:r>
      <w:r w:rsidR="00546E0D">
        <w:rPr>
          <w:rFonts w:ascii="Times New Roman" w:hAnsi="Times New Roman" w:cs="Times New Roman"/>
        </w:rPr>
        <w:t xml:space="preserve"> Policymakers would also have to decide whether MA insurers would be required to offer one or more </w:t>
      </w:r>
      <w:r w:rsidR="00153695">
        <w:rPr>
          <w:rFonts w:ascii="Times New Roman" w:hAnsi="Times New Roman" w:cs="Times New Roman"/>
        </w:rPr>
        <w:t>of the standardized benefit packages.</w:t>
      </w:r>
      <w:r w:rsidR="009A48A6">
        <w:rPr>
          <w:rFonts w:ascii="Times New Roman" w:hAnsi="Times New Roman" w:cs="Times New Roman"/>
        </w:rPr>
        <w:t xml:space="preserve"> </w:t>
      </w:r>
      <w:r w:rsidR="00052FF1" w:rsidRPr="00052FF1">
        <w:rPr>
          <w:rFonts w:ascii="Times New Roman" w:hAnsi="Times New Roman" w:cs="Times New Roman"/>
        </w:rPr>
        <w:t>Standardization could make supplemental benefits more transparent to beneficiaries by clarifying what plans cover and could help ensure that plans provide sufficient value to MA enrollees and taxpayers, which is a particular concern given the lack of utilization and spending data.</w:t>
      </w:r>
    </w:p>
    <w:p w14:paraId="7E1A404E" w14:textId="77777777" w:rsidR="000B1FD5" w:rsidRDefault="000B1FD5" w:rsidP="00B26DAA">
      <w:pPr>
        <w:rPr>
          <w:rFonts w:ascii="Times New Roman" w:hAnsi="Times New Roman" w:cs="Times New Roman"/>
          <w:b/>
          <w:bCs/>
        </w:rPr>
      </w:pPr>
    </w:p>
    <w:p w14:paraId="32C3B455" w14:textId="135631A5" w:rsidR="00DD7C85" w:rsidRPr="00C00824" w:rsidRDefault="00742319" w:rsidP="00B26DAA">
      <w:pPr>
        <w:rPr>
          <w:rFonts w:ascii="Times New Roman" w:hAnsi="Times New Roman" w:cs="Times New Roman"/>
          <w:b/>
          <w:bCs/>
        </w:rPr>
      </w:pPr>
      <w:r>
        <w:rPr>
          <w:rFonts w:ascii="Times New Roman" w:hAnsi="Times New Roman" w:cs="Times New Roman"/>
          <w:b/>
          <w:bCs/>
        </w:rPr>
        <w:t>Chapter 4: Favorable selection and future directions for Medicare Advantage payment policy</w:t>
      </w:r>
    </w:p>
    <w:p w14:paraId="1BDA7143" w14:textId="09755B48" w:rsidR="00755725" w:rsidRDefault="00DD7C85" w:rsidP="00E0061C">
      <w:pPr>
        <w:rPr>
          <w:rFonts w:ascii="Times New Roman" w:hAnsi="Times New Roman" w:cs="Times New Roman"/>
        </w:rPr>
      </w:pPr>
      <w:r w:rsidRPr="00DD7C85">
        <w:rPr>
          <w:rFonts w:ascii="Times New Roman" w:hAnsi="Times New Roman" w:cs="Times New Roman"/>
        </w:rPr>
        <w:t>Currently, Medicare pays MA plans a capitated rate that is the product of a base payment rate and a risk score.</w:t>
      </w:r>
      <w:r w:rsidR="00D52232">
        <w:rPr>
          <w:rFonts w:ascii="Times New Roman" w:hAnsi="Times New Roman" w:cs="Times New Roman"/>
        </w:rPr>
        <w:t xml:space="preserve"> </w:t>
      </w:r>
      <w:r w:rsidR="00D52232" w:rsidRPr="00D52232">
        <w:rPr>
          <w:rFonts w:ascii="Times New Roman" w:hAnsi="Times New Roman" w:cs="Times New Roman"/>
        </w:rPr>
        <w:t>The accuracy of Medicare’s payments to MA plans depends in large part on how well the risk-adjustment model predicts the expected costs for the plans’ enrollees.</w:t>
      </w:r>
      <w:r w:rsidR="00DD49F0">
        <w:rPr>
          <w:rFonts w:ascii="Times New Roman" w:hAnsi="Times New Roman" w:cs="Times New Roman"/>
        </w:rPr>
        <w:t xml:space="preserve"> </w:t>
      </w:r>
      <w:r w:rsidR="00DD49F0" w:rsidRPr="00DD49F0">
        <w:rPr>
          <w:rFonts w:ascii="Times New Roman" w:hAnsi="Times New Roman" w:cs="Times New Roman"/>
        </w:rPr>
        <w:t>MA enrollees’ risk scores consistently overpredict MA enrollees’ actual spending in part because of favorable selection of beneficiaries who choose to enroll in an MA plan rather than FFS Medicare.</w:t>
      </w:r>
      <w:r w:rsidR="00CE70C6">
        <w:rPr>
          <w:rFonts w:ascii="Times New Roman" w:hAnsi="Times New Roman" w:cs="Times New Roman"/>
        </w:rPr>
        <w:t xml:space="preserve"> </w:t>
      </w:r>
      <w:r w:rsidR="00964405" w:rsidRPr="00964405">
        <w:rPr>
          <w:rFonts w:ascii="Times New Roman" w:hAnsi="Times New Roman" w:cs="Times New Roman"/>
        </w:rPr>
        <w:t>Favorable selection into MA causes payments to plans to be systematically greater than plans’ spending for their enrollee</w:t>
      </w:r>
      <w:r w:rsidR="00CE70C6">
        <w:rPr>
          <w:rFonts w:ascii="Times New Roman" w:hAnsi="Times New Roman" w:cs="Times New Roman"/>
        </w:rPr>
        <w:t>s</w:t>
      </w:r>
      <w:r w:rsidR="00727464">
        <w:rPr>
          <w:rFonts w:ascii="Times New Roman" w:hAnsi="Times New Roman" w:cs="Times New Roman"/>
        </w:rPr>
        <w:t>.</w:t>
      </w:r>
      <w:r w:rsidR="00E0061C">
        <w:rPr>
          <w:rFonts w:ascii="Times New Roman" w:hAnsi="Times New Roman" w:cs="Times New Roman"/>
        </w:rPr>
        <w:t xml:space="preserve"> </w:t>
      </w:r>
      <w:r w:rsidR="000779AD">
        <w:rPr>
          <w:rFonts w:ascii="Times New Roman" w:hAnsi="Times New Roman" w:cs="Times New Roman"/>
        </w:rPr>
        <w:t>Over Medicare’s nearly 40-year history of making risk-based payments to private plans, the program has always paid more to private plans than it would have spent to cover the same beneficiaries through FFS.</w:t>
      </w:r>
    </w:p>
    <w:p w14:paraId="5EADC5BA" w14:textId="77777777" w:rsidR="00E0061C" w:rsidRDefault="00E0061C" w:rsidP="00B26DAA">
      <w:pPr>
        <w:rPr>
          <w:rFonts w:ascii="Times New Roman" w:hAnsi="Times New Roman" w:cs="Times New Roman"/>
        </w:rPr>
      </w:pPr>
    </w:p>
    <w:p w14:paraId="4D1DDC66" w14:textId="4F1C8C5B" w:rsidR="008D62F3" w:rsidRDefault="00E0061C" w:rsidP="00B26DAA">
      <w:pPr>
        <w:rPr>
          <w:rFonts w:ascii="Times New Roman" w:hAnsi="Times New Roman" w:cs="Times New Roman"/>
        </w:rPr>
      </w:pPr>
      <w:r w:rsidRPr="00E0061C">
        <w:rPr>
          <w:rFonts w:ascii="Times New Roman" w:hAnsi="Times New Roman" w:cs="Times New Roman"/>
        </w:rPr>
        <w:t xml:space="preserve">Policymakers could set MA benchmarks </w:t>
      </w:r>
      <w:r w:rsidR="00865EC5">
        <w:rPr>
          <w:rFonts w:ascii="Times New Roman" w:hAnsi="Times New Roman" w:cs="Times New Roman"/>
        </w:rPr>
        <w:t xml:space="preserve">through several approaches. One approach </w:t>
      </w:r>
      <w:r w:rsidRPr="00E0061C">
        <w:rPr>
          <w:rFonts w:ascii="Times New Roman" w:hAnsi="Times New Roman" w:cs="Times New Roman"/>
        </w:rPr>
        <w:t>that relies less on FFS spending us</w:t>
      </w:r>
      <w:r w:rsidR="00865EC5">
        <w:rPr>
          <w:rFonts w:ascii="Times New Roman" w:hAnsi="Times New Roman" w:cs="Times New Roman"/>
        </w:rPr>
        <w:t>es</w:t>
      </w:r>
      <w:r w:rsidRPr="00E0061C">
        <w:rPr>
          <w:rFonts w:ascii="Times New Roman" w:hAnsi="Times New Roman" w:cs="Times New Roman"/>
        </w:rPr>
        <w:t xml:space="preserve"> a competitive bidding system that relies entirely on MA bids to determine benchmarks</w:t>
      </w:r>
      <w:r w:rsidR="00865EC5">
        <w:rPr>
          <w:rFonts w:ascii="Times New Roman" w:hAnsi="Times New Roman" w:cs="Times New Roman"/>
        </w:rPr>
        <w:t>. The assumption with this approach is that competitive bidding would generate more accurate payment rates relative to MA costs and have more potential to generate program savings. Another approach could</w:t>
      </w:r>
      <w:r w:rsidRPr="00E0061C">
        <w:rPr>
          <w:rFonts w:ascii="Times New Roman" w:hAnsi="Times New Roman" w:cs="Times New Roman"/>
        </w:rPr>
        <w:t xml:space="preserve"> base benchmarks on both FFS and MA Medicare spending instead of just FFS spending</w:t>
      </w:r>
      <w:r w:rsidR="004316DE">
        <w:rPr>
          <w:rFonts w:ascii="Times New Roman" w:hAnsi="Times New Roman" w:cs="Times New Roman"/>
        </w:rPr>
        <w:t>, wh</w:t>
      </w:r>
      <w:r w:rsidR="007557C7">
        <w:rPr>
          <w:rFonts w:ascii="Times New Roman" w:hAnsi="Times New Roman" w:cs="Times New Roman"/>
        </w:rPr>
        <w:t xml:space="preserve">ich </w:t>
      </w:r>
      <w:r w:rsidR="005D5458">
        <w:rPr>
          <w:rFonts w:ascii="Times New Roman" w:hAnsi="Times New Roman" w:cs="Times New Roman"/>
        </w:rPr>
        <w:t>would require the calculation of an FFS rate and an MA rate in each local area (both of which would use existing data and processes). The last suggested approach</w:t>
      </w:r>
      <w:r w:rsidRPr="00E0061C">
        <w:rPr>
          <w:rFonts w:ascii="Times New Roman" w:hAnsi="Times New Roman" w:cs="Times New Roman"/>
        </w:rPr>
        <w:t xml:space="preserve"> </w:t>
      </w:r>
      <w:r w:rsidR="005D5458">
        <w:rPr>
          <w:rFonts w:ascii="Times New Roman" w:hAnsi="Times New Roman" w:cs="Times New Roman"/>
        </w:rPr>
        <w:t>w</w:t>
      </w:r>
      <w:r w:rsidRPr="00E0061C">
        <w:rPr>
          <w:rFonts w:ascii="Times New Roman" w:hAnsi="Times New Roman" w:cs="Times New Roman"/>
        </w:rPr>
        <w:t xml:space="preserve">ould set benchmarks at a point in time and update them using administratively set </w:t>
      </w:r>
      <w:r w:rsidR="001A488A">
        <w:rPr>
          <w:rFonts w:ascii="Times New Roman" w:hAnsi="Times New Roman" w:cs="Times New Roman"/>
        </w:rPr>
        <w:t xml:space="preserve">fixed growth </w:t>
      </w:r>
      <w:r w:rsidRPr="00E0061C">
        <w:rPr>
          <w:rFonts w:ascii="Times New Roman" w:hAnsi="Times New Roman" w:cs="Times New Roman"/>
        </w:rPr>
        <w:t>rates</w:t>
      </w:r>
      <w:r w:rsidR="001E75B4">
        <w:rPr>
          <w:rFonts w:ascii="Times New Roman" w:hAnsi="Times New Roman" w:cs="Times New Roman"/>
        </w:rPr>
        <w:t>.</w:t>
      </w:r>
    </w:p>
    <w:p w14:paraId="0E7059C5" w14:textId="77777777" w:rsidR="000E1E74" w:rsidRDefault="000E1E74" w:rsidP="00B26DAA">
      <w:pPr>
        <w:rPr>
          <w:rFonts w:ascii="Times New Roman" w:hAnsi="Times New Roman" w:cs="Times New Roman"/>
          <w:b/>
          <w:bCs/>
        </w:rPr>
      </w:pPr>
    </w:p>
    <w:p w14:paraId="6B0E4174" w14:textId="23773CAC" w:rsidR="000E1E74" w:rsidRDefault="000E1E74" w:rsidP="00B26DAA">
      <w:pPr>
        <w:rPr>
          <w:rFonts w:ascii="Times New Roman" w:hAnsi="Times New Roman" w:cs="Times New Roman"/>
          <w:b/>
          <w:bCs/>
        </w:rPr>
      </w:pPr>
      <w:r>
        <w:rPr>
          <w:rFonts w:ascii="Times New Roman" w:hAnsi="Times New Roman" w:cs="Times New Roman"/>
          <w:b/>
          <w:bCs/>
        </w:rPr>
        <w:t>Chapter 7: Mandated report: Telehealth in Medicare</w:t>
      </w:r>
    </w:p>
    <w:p w14:paraId="5345B374" w14:textId="33EDCD23" w:rsidR="00573336" w:rsidRPr="00573336" w:rsidRDefault="00573336" w:rsidP="00B26DAA">
      <w:pPr>
        <w:rPr>
          <w:rFonts w:ascii="Times New Roman" w:hAnsi="Times New Roman" w:cs="Times New Roman"/>
        </w:rPr>
      </w:pPr>
      <w:r>
        <w:rPr>
          <w:rFonts w:ascii="Times New Roman" w:hAnsi="Times New Roman" w:cs="Times New Roman"/>
        </w:rPr>
        <w:t>The Consolidated Appropriations Act (CAA), 2022, mandate</w:t>
      </w:r>
      <w:r w:rsidR="00E36F6F">
        <w:rPr>
          <w:rFonts w:ascii="Times New Roman" w:hAnsi="Times New Roman" w:cs="Times New Roman"/>
        </w:rPr>
        <w:t>d</w:t>
      </w:r>
      <w:r>
        <w:rPr>
          <w:rFonts w:ascii="Times New Roman" w:hAnsi="Times New Roman" w:cs="Times New Roman"/>
        </w:rPr>
        <w:t xml:space="preserve"> that the MedPAC Commission presents data on the use of telehealth services during the public health emergency </w:t>
      </w:r>
      <w:r w:rsidR="00852A3F">
        <w:rPr>
          <w:rFonts w:ascii="Times New Roman" w:hAnsi="Times New Roman" w:cs="Times New Roman"/>
        </w:rPr>
        <w:t>and an analysis of the relationship between expanded telehealth coverage and quality, access, and costs.</w:t>
      </w:r>
      <w:r w:rsidR="00626C6B">
        <w:rPr>
          <w:rFonts w:ascii="Times New Roman" w:hAnsi="Times New Roman" w:cs="Times New Roman"/>
        </w:rPr>
        <w:t xml:space="preserve"> </w:t>
      </w:r>
      <w:r w:rsidR="00C11119">
        <w:rPr>
          <w:rFonts w:ascii="Times New Roman" w:hAnsi="Times New Roman" w:cs="Times New Roman"/>
        </w:rPr>
        <w:t xml:space="preserve">Prior to the PHE, </w:t>
      </w:r>
      <w:r w:rsidR="002F4BF1" w:rsidRPr="002F4BF1">
        <w:rPr>
          <w:rFonts w:ascii="Times New Roman" w:hAnsi="Times New Roman" w:cs="Times New Roman"/>
        </w:rPr>
        <w:t>Medicare coverage of telehealth services was limited by</w:t>
      </w:r>
      <w:r w:rsidR="002F4BF1">
        <w:rPr>
          <w:rFonts w:ascii="Times New Roman" w:hAnsi="Times New Roman" w:cs="Times New Roman"/>
        </w:rPr>
        <w:t xml:space="preserve"> </w:t>
      </w:r>
      <w:r w:rsidR="002F4BF1" w:rsidRPr="002F4BF1">
        <w:rPr>
          <w:rFonts w:ascii="Times New Roman" w:hAnsi="Times New Roman" w:cs="Times New Roman"/>
        </w:rPr>
        <w:t>statute under the PFS.</w:t>
      </w:r>
      <w:r w:rsidR="009F6931" w:rsidRPr="009F6931">
        <w:t xml:space="preserve"> </w:t>
      </w:r>
      <w:r w:rsidR="009F6931" w:rsidRPr="009F6931">
        <w:rPr>
          <w:rFonts w:ascii="Times New Roman" w:hAnsi="Times New Roman" w:cs="Times New Roman"/>
        </w:rPr>
        <w:t>During the PHE, Medicare coverage of telehealth was expanded to</w:t>
      </w:r>
      <w:r w:rsidR="009F6931">
        <w:rPr>
          <w:rFonts w:ascii="Times New Roman" w:hAnsi="Times New Roman" w:cs="Times New Roman"/>
        </w:rPr>
        <w:t xml:space="preserve"> </w:t>
      </w:r>
      <w:r w:rsidR="009F6931" w:rsidRPr="009F6931">
        <w:rPr>
          <w:rFonts w:ascii="Times New Roman" w:hAnsi="Times New Roman" w:cs="Times New Roman"/>
        </w:rPr>
        <w:t>include additional allowable</w:t>
      </w:r>
      <w:r w:rsidR="009F6931">
        <w:rPr>
          <w:rFonts w:ascii="Times New Roman" w:hAnsi="Times New Roman" w:cs="Times New Roman"/>
        </w:rPr>
        <w:t xml:space="preserve"> t</w:t>
      </w:r>
      <w:r w:rsidR="009F6931" w:rsidRPr="009F6931">
        <w:rPr>
          <w:rFonts w:ascii="Times New Roman" w:hAnsi="Times New Roman" w:cs="Times New Roman"/>
        </w:rPr>
        <w:t>elehealth services and providers, and originating</w:t>
      </w:r>
      <w:r w:rsidR="009F6931">
        <w:rPr>
          <w:rFonts w:ascii="Times New Roman" w:hAnsi="Times New Roman" w:cs="Times New Roman"/>
        </w:rPr>
        <w:t xml:space="preserve"> </w:t>
      </w:r>
      <w:r w:rsidR="009F6931" w:rsidRPr="009F6931">
        <w:rPr>
          <w:rFonts w:ascii="Times New Roman" w:hAnsi="Times New Roman" w:cs="Times New Roman"/>
        </w:rPr>
        <w:t>site and geographic restrictions were lifted.</w:t>
      </w:r>
      <w:r w:rsidR="004236BB" w:rsidRPr="004236BB">
        <w:t xml:space="preserve"> </w:t>
      </w:r>
      <w:r w:rsidR="004236BB">
        <w:t>D</w:t>
      </w:r>
      <w:r w:rsidR="004236BB" w:rsidRPr="004236BB">
        <w:rPr>
          <w:rFonts w:ascii="Times New Roman" w:hAnsi="Times New Roman" w:cs="Times New Roman"/>
        </w:rPr>
        <w:t>uring the</w:t>
      </w:r>
      <w:r w:rsidR="004236BB">
        <w:rPr>
          <w:rFonts w:ascii="Times New Roman" w:hAnsi="Times New Roman" w:cs="Times New Roman"/>
        </w:rPr>
        <w:t xml:space="preserve"> </w:t>
      </w:r>
      <w:r w:rsidR="004236BB" w:rsidRPr="004236BB">
        <w:rPr>
          <w:rFonts w:ascii="Times New Roman" w:hAnsi="Times New Roman" w:cs="Times New Roman"/>
        </w:rPr>
        <w:t>PHE, CMS paid the same rate it would pay if the telehealth service had been</w:t>
      </w:r>
      <w:r w:rsidR="00E06B36">
        <w:rPr>
          <w:rFonts w:ascii="Times New Roman" w:hAnsi="Times New Roman" w:cs="Times New Roman"/>
        </w:rPr>
        <w:t xml:space="preserve"> </w:t>
      </w:r>
      <w:r w:rsidR="004236BB" w:rsidRPr="004236BB">
        <w:rPr>
          <w:rFonts w:ascii="Times New Roman" w:hAnsi="Times New Roman" w:cs="Times New Roman"/>
        </w:rPr>
        <w:t>provided in person</w:t>
      </w:r>
      <w:r w:rsidR="004236BB">
        <w:rPr>
          <w:rFonts w:ascii="Times New Roman" w:hAnsi="Times New Roman" w:cs="Times New Roman"/>
        </w:rPr>
        <w:t>.</w:t>
      </w:r>
      <w:r w:rsidR="00E06B36">
        <w:rPr>
          <w:rFonts w:ascii="Times New Roman" w:hAnsi="Times New Roman" w:cs="Times New Roman"/>
        </w:rPr>
        <w:t xml:space="preserve"> </w:t>
      </w:r>
      <w:r w:rsidR="00AB1AA3">
        <w:rPr>
          <w:rFonts w:ascii="Times New Roman" w:hAnsi="Times New Roman" w:cs="Times New Roman"/>
        </w:rPr>
        <w:t xml:space="preserve">In the March 2021 Report to Congress, the commission </w:t>
      </w:r>
      <w:r w:rsidR="0075658B">
        <w:rPr>
          <w:rFonts w:ascii="Times New Roman" w:hAnsi="Times New Roman" w:cs="Times New Roman"/>
        </w:rPr>
        <w:t xml:space="preserve">states that CMS should resume paying the lower facility rate for telehealth services as soon as practicable after the end of the PHE. </w:t>
      </w:r>
    </w:p>
    <w:p w14:paraId="10584FA6" w14:textId="77777777" w:rsidR="00F477F2" w:rsidRDefault="00F477F2" w:rsidP="004236BB">
      <w:pPr>
        <w:rPr>
          <w:rFonts w:ascii="Times New Roman" w:hAnsi="Times New Roman" w:cs="Times New Roman"/>
        </w:rPr>
      </w:pPr>
    </w:p>
    <w:p w14:paraId="2713B9A0" w14:textId="54C23536" w:rsidR="00EB670F" w:rsidRPr="00F477F2" w:rsidRDefault="00F477F2" w:rsidP="004236BB">
      <w:pPr>
        <w:rPr>
          <w:rFonts w:ascii="Times New Roman" w:hAnsi="Times New Roman" w:cs="Times New Roman"/>
          <w:i/>
        </w:rPr>
      </w:pPr>
      <w:r w:rsidRPr="00F477F2">
        <w:rPr>
          <w:rFonts w:ascii="Times New Roman" w:hAnsi="Times New Roman" w:cs="Times New Roman"/>
          <w:i/>
          <w:iCs/>
        </w:rPr>
        <w:t>Spending and use of telehealth services in Medicare</w:t>
      </w:r>
    </w:p>
    <w:p w14:paraId="2EBD198A" w14:textId="78902275" w:rsidR="00EB670F" w:rsidRDefault="00EB670F" w:rsidP="00EB670F">
      <w:pPr>
        <w:rPr>
          <w:rFonts w:ascii="Times New Roman" w:hAnsi="Times New Roman" w:cs="Times New Roman"/>
        </w:rPr>
      </w:pPr>
      <w:r w:rsidRPr="00EB670F">
        <w:rPr>
          <w:rFonts w:ascii="Times New Roman" w:hAnsi="Times New Roman" w:cs="Times New Roman"/>
        </w:rPr>
        <w:t xml:space="preserve">Medicare </w:t>
      </w:r>
      <w:r w:rsidR="00F477F2">
        <w:rPr>
          <w:rFonts w:ascii="Times New Roman" w:hAnsi="Times New Roman" w:cs="Times New Roman"/>
        </w:rPr>
        <w:t xml:space="preserve">FFS </w:t>
      </w:r>
      <w:r w:rsidRPr="00EB670F">
        <w:rPr>
          <w:rFonts w:ascii="Times New Roman" w:hAnsi="Times New Roman" w:cs="Times New Roman"/>
        </w:rPr>
        <w:t>spending for telehealth services was low in 2019</w:t>
      </w:r>
      <w:r w:rsidR="004D1A53">
        <w:rPr>
          <w:rFonts w:ascii="Times New Roman" w:hAnsi="Times New Roman" w:cs="Times New Roman"/>
        </w:rPr>
        <w:t xml:space="preserve">, </w:t>
      </w:r>
      <w:r w:rsidRPr="00EB670F">
        <w:rPr>
          <w:rFonts w:ascii="Times New Roman" w:hAnsi="Times New Roman" w:cs="Times New Roman"/>
        </w:rPr>
        <w:t>$130</w:t>
      </w:r>
      <w:r w:rsidR="004D1A53">
        <w:rPr>
          <w:rFonts w:ascii="Times New Roman" w:hAnsi="Times New Roman" w:cs="Times New Roman"/>
        </w:rPr>
        <w:t xml:space="preserve"> </w:t>
      </w:r>
      <w:r w:rsidRPr="00EB670F">
        <w:rPr>
          <w:rFonts w:ascii="Times New Roman" w:hAnsi="Times New Roman" w:cs="Times New Roman"/>
        </w:rPr>
        <w:t xml:space="preserve">million but </w:t>
      </w:r>
      <w:r w:rsidR="004D1A53">
        <w:rPr>
          <w:rFonts w:ascii="Times New Roman" w:hAnsi="Times New Roman" w:cs="Times New Roman"/>
        </w:rPr>
        <w:t>increased</w:t>
      </w:r>
      <w:r w:rsidRPr="00EB670F">
        <w:rPr>
          <w:rFonts w:ascii="Times New Roman" w:hAnsi="Times New Roman" w:cs="Times New Roman"/>
        </w:rPr>
        <w:t xml:space="preserve"> dramatically during the early months of the PHE, peaking at</w:t>
      </w:r>
      <w:r w:rsidR="004D1A53">
        <w:rPr>
          <w:rFonts w:ascii="Times New Roman" w:hAnsi="Times New Roman" w:cs="Times New Roman"/>
        </w:rPr>
        <w:t xml:space="preserve"> </w:t>
      </w:r>
      <w:r w:rsidRPr="00EB670F">
        <w:rPr>
          <w:rFonts w:ascii="Times New Roman" w:hAnsi="Times New Roman" w:cs="Times New Roman"/>
        </w:rPr>
        <w:t>$1.9 billion in the second quarter of 2020</w:t>
      </w:r>
      <w:r w:rsidR="004D1A53">
        <w:rPr>
          <w:rFonts w:ascii="Times New Roman" w:hAnsi="Times New Roman" w:cs="Times New Roman"/>
        </w:rPr>
        <w:t>.</w:t>
      </w:r>
      <w:r w:rsidRPr="00EB670F">
        <w:rPr>
          <w:rFonts w:ascii="Times New Roman" w:hAnsi="Times New Roman" w:cs="Times New Roman"/>
        </w:rPr>
        <w:t xml:space="preserve"> Telehealth spending declined in the</w:t>
      </w:r>
      <w:r w:rsidR="004D1A53">
        <w:rPr>
          <w:rFonts w:ascii="Times New Roman" w:hAnsi="Times New Roman" w:cs="Times New Roman"/>
        </w:rPr>
        <w:t xml:space="preserve"> </w:t>
      </w:r>
      <w:r w:rsidRPr="00EB670F">
        <w:rPr>
          <w:rFonts w:ascii="Times New Roman" w:hAnsi="Times New Roman" w:cs="Times New Roman"/>
        </w:rPr>
        <w:t>latter half of 2020 and in 2021, falling to $827 million in the fourth quarter of</w:t>
      </w:r>
      <w:r w:rsidR="004D1A53">
        <w:rPr>
          <w:rFonts w:ascii="Times New Roman" w:hAnsi="Times New Roman" w:cs="Times New Roman"/>
        </w:rPr>
        <w:t xml:space="preserve"> </w:t>
      </w:r>
      <w:r w:rsidRPr="00EB670F">
        <w:rPr>
          <w:rFonts w:ascii="Times New Roman" w:hAnsi="Times New Roman" w:cs="Times New Roman"/>
        </w:rPr>
        <w:t>2021.</w:t>
      </w:r>
      <w:r w:rsidR="00836FE7">
        <w:rPr>
          <w:rFonts w:ascii="Times New Roman" w:hAnsi="Times New Roman" w:cs="Times New Roman"/>
        </w:rPr>
        <w:t xml:space="preserve"> </w:t>
      </w:r>
      <w:r w:rsidR="00AE7487">
        <w:rPr>
          <w:rFonts w:ascii="Times New Roman" w:hAnsi="Times New Roman" w:cs="Times New Roman"/>
        </w:rPr>
        <w:t>The MedPAC</w:t>
      </w:r>
      <w:r w:rsidR="00836FE7">
        <w:rPr>
          <w:rFonts w:ascii="Times New Roman" w:hAnsi="Times New Roman" w:cs="Times New Roman"/>
        </w:rPr>
        <w:t xml:space="preserve"> </w:t>
      </w:r>
      <w:r w:rsidR="00AE7487" w:rsidRPr="00AE7487">
        <w:rPr>
          <w:rFonts w:ascii="Times New Roman" w:hAnsi="Times New Roman" w:cs="Times New Roman"/>
        </w:rPr>
        <w:t>examined the distribution of PFS telehealth</w:t>
      </w:r>
      <w:r w:rsidR="00AE7487">
        <w:rPr>
          <w:rFonts w:ascii="Times New Roman" w:hAnsi="Times New Roman" w:cs="Times New Roman"/>
        </w:rPr>
        <w:t xml:space="preserve"> </w:t>
      </w:r>
      <w:r w:rsidR="00AE7487" w:rsidRPr="00AE7487">
        <w:rPr>
          <w:rFonts w:ascii="Times New Roman" w:hAnsi="Times New Roman" w:cs="Times New Roman"/>
        </w:rPr>
        <w:t>spending in 2020 and 2021 by broad service categories</w:t>
      </w:r>
      <w:r w:rsidR="00AE7487">
        <w:rPr>
          <w:rFonts w:ascii="Times New Roman" w:hAnsi="Times New Roman" w:cs="Times New Roman"/>
        </w:rPr>
        <w:t xml:space="preserve"> and found that</w:t>
      </w:r>
      <w:r w:rsidR="00AE7487" w:rsidRPr="00AE7487">
        <w:rPr>
          <w:rFonts w:ascii="Times New Roman" w:hAnsi="Times New Roman" w:cs="Times New Roman"/>
        </w:rPr>
        <w:t xml:space="preserve"> E&amp;M</w:t>
      </w:r>
      <w:r w:rsidR="00AE7487">
        <w:rPr>
          <w:rFonts w:ascii="Times New Roman" w:hAnsi="Times New Roman" w:cs="Times New Roman"/>
        </w:rPr>
        <w:t xml:space="preserve"> services</w:t>
      </w:r>
      <w:r w:rsidR="00AE7487" w:rsidRPr="00AE7487">
        <w:rPr>
          <w:rFonts w:ascii="Times New Roman" w:hAnsi="Times New Roman" w:cs="Times New Roman"/>
        </w:rPr>
        <w:t xml:space="preserve"> accounted for</w:t>
      </w:r>
      <w:r w:rsidR="00AE7487">
        <w:rPr>
          <w:rFonts w:ascii="Times New Roman" w:hAnsi="Times New Roman" w:cs="Times New Roman"/>
        </w:rPr>
        <w:t xml:space="preserve"> 98%</w:t>
      </w:r>
      <w:r w:rsidR="00AE7487" w:rsidRPr="00AE7487">
        <w:rPr>
          <w:rFonts w:ascii="Times New Roman" w:hAnsi="Times New Roman" w:cs="Times New Roman"/>
        </w:rPr>
        <w:t xml:space="preserve"> of telehealth spending in 2020</w:t>
      </w:r>
      <w:r w:rsidR="00AE7487">
        <w:rPr>
          <w:rFonts w:ascii="Times New Roman" w:hAnsi="Times New Roman" w:cs="Times New Roman"/>
        </w:rPr>
        <w:t xml:space="preserve"> and 2021. </w:t>
      </w:r>
    </w:p>
    <w:p w14:paraId="43095851" w14:textId="77777777" w:rsidR="00BF7224" w:rsidRDefault="00BF7224" w:rsidP="00EB670F">
      <w:pPr>
        <w:rPr>
          <w:rFonts w:ascii="Times New Roman" w:hAnsi="Times New Roman" w:cs="Times New Roman"/>
        </w:rPr>
      </w:pPr>
    </w:p>
    <w:p w14:paraId="0A72F894" w14:textId="1284AF6D" w:rsidR="00352482" w:rsidRDefault="00BF7224" w:rsidP="004236BB">
      <w:pPr>
        <w:rPr>
          <w:rFonts w:ascii="Times New Roman" w:hAnsi="Times New Roman" w:cs="Times New Roman"/>
        </w:rPr>
      </w:pPr>
      <w:r>
        <w:rPr>
          <w:rFonts w:ascii="Times New Roman" w:hAnsi="Times New Roman" w:cs="Times New Roman"/>
        </w:rPr>
        <w:t xml:space="preserve">The Commission found that </w:t>
      </w:r>
      <w:r w:rsidR="00093B7E">
        <w:rPr>
          <w:rFonts w:ascii="Times New Roman" w:hAnsi="Times New Roman" w:cs="Times New Roman"/>
        </w:rPr>
        <w:t>during the PHE</w:t>
      </w:r>
      <w:r w:rsidR="00B252A6">
        <w:rPr>
          <w:rFonts w:ascii="Times New Roman" w:hAnsi="Times New Roman" w:cs="Times New Roman"/>
        </w:rPr>
        <w:t xml:space="preserve">, greater telehealth use </w:t>
      </w:r>
      <w:r w:rsidR="00C55018" w:rsidRPr="00C55018">
        <w:rPr>
          <w:rFonts w:ascii="Times New Roman" w:hAnsi="Times New Roman" w:cs="Times New Roman"/>
        </w:rPr>
        <w:t>was associated with little</w:t>
      </w:r>
      <w:r w:rsidR="00C55018">
        <w:rPr>
          <w:rFonts w:ascii="Times New Roman" w:hAnsi="Times New Roman" w:cs="Times New Roman"/>
        </w:rPr>
        <w:t xml:space="preserve"> c</w:t>
      </w:r>
      <w:r w:rsidR="00C55018" w:rsidRPr="00C55018">
        <w:rPr>
          <w:rFonts w:ascii="Times New Roman" w:hAnsi="Times New Roman" w:cs="Times New Roman"/>
        </w:rPr>
        <w:t>hange in measured quality, slightly improved</w:t>
      </w:r>
      <w:r w:rsidR="00C55018">
        <w:rPr>
          <w:rFonts w:ascii="Times New Roman" w:hAnsi="Times New Roman" w:cs="Times New Roman"/>
        </w:rPr>
        <w:t xml:space="preserve"> </w:t>
      </w:r>
      <w:r w:rsidR="00C55018" w:rsidRPr="00C55018">
        <w:rPr>
          <w:rFonts w:ascii="Times New Roman" w:hAnsi="Times New Roman" w:cs="Times New Roman"/>
        </w:rPr>
        <w:t>access to care for some beneficiaries, and slightly increased costs to the</w:t>
      </w:r>
      <w:r w:rsidR="00C55018">
        <w:rPr>
          <w:rFonts w:ascii="Times New Roman" w:hAnsi="Times New Roman" w:cs="Times New Roman"/>
        </w:rPr>
        <w:t xml:space="preserve"> </w:t>
      </w:r>
      <w:r w:rsidR="00C55018" w:rsidRPr="00C55018">
        <w:rPr>
          <w:rFonts w:ascii="Times New Roman" w:hAnsi="Times New Roman" w:cs="Times New Roman"/>
        </w:rPr>
        <w:t>Medicare program</w:t>
      </w:r>
      <w:r w:rsidR="00C55018">
        <w:rPr>
          <w:rFonts w:ascii="Times New Roman" w:hAnsi="Times New Roman" w:cs="Times New Roman"/>
        </w:rPr>
        <w:t xml:space="preserve">. The Commission states there should be </w:t>
      </w:r>
      <w:r w:rsidR="000F2399">
        <w:rPr>
          <w:rFonts w:ascii="Times New Roman" w:hAnsi="Times New Roman" w:cs="Times New Roman"/>
        </w:rPr>
        <w:t xml:space="preserve">research </w:t>
      </w:r>
      <w:r w:rsidR="00BA63FE">
        <w:rPr>
          <w:rFonts w:ascii="Times New Roman" w:hAnsi="Times New Roman" w:cs="Times New Roman"/>
        </w:rPr>
        <w:t xml:space="preserve">done using more recent data </w:t>
      </w:r>
      <w:r w:rsidR="00643CDD">
        <w:rPr>
          <w:rFonts w:ascii="Times New Roman" w:hAnsi="Times New Roman" w:cs="Times New Roman"/>
        </w:rPr>
        <w:t>as they become available.</w:t>
      </w:r>
      <w:r w:rsidR="00E83104">
        <w:rPr>
          <w:rFonts w:ascii="Times New Roman" w:hAnsi="Times New Roman" w:cs="Times New Roman"/>
        </w:rPr>
        <w:t xml:space="preserve"> </w:t>
      </w:r>
    </w:p>
    <w:p w14:paraId="42DD75A3" w14:textId="77777777" w:rsidR="005C36CF" w:rsidRDefault="005C36CF" w:rsidP="00B26DAA">
      <w:pPr>
        <w:rPr>
          <w:rFonts w:ascii="Times New Roman" w:hAnsi="Times New Roman" w:cs="Times New Roman"/>
          <w:b/>
          <w:bCs/>
        </w:rPr>
      </w:pPr>
    </w:p>
    <w:p w14:paraId="4A76D1FB" w14:textId="1C504E7A" w:rsidR="005C36CF" w:rsidRPr="00B26DAA" w:rsidRDefault="005C36CF" w:rsidP="00B26DAA">
      <w:pPr>
        <w:rPr>
          <w:rFonts w:ascii="Times New Roman" w:hAnsi="Times New Roman" w:cs="Times New Roman"/>
          <w:b/>
          <w:bCs/>
        </w:rPr>
      </w:pPr>
      <w:r>
        <w:rPr>
          <w:rFonts w:ascii="Times New Roman" w:hAnsi="Times New Roman" w:cs="Times New Roman"/>
          <w:b/>
          <w:bCs/>
        </w:rPr>
        <w:t xml:space="preserve">Chapter </w:t>
      </w:r>
      <w:r w:rsidR="000E1E74">
        <w:rPr>
          <w:rFonts w:ascii="Times New Roman" w:hAnsi="Times New Roman" w:cs="Times New Roman"/>
          <w:b/>
          <w:bCs/>
        </w:rPr>
        <w:t>8</w:t>
      </w:r>
      <w:r>
        <w:rPr>
          <w:rFonts w:ascii="Times New Roman" w:hAnsi="Times New Roman" w:cs="Times New Roman"/>
          <w:b/>
          <w:bCs/>
        </w:rPr>
        <w:t>: Aligning Fee-For-Service Payments Across Ambulatory Settings</w:t>
      </w:r>
    </w:p>
    <w:p w14:paraId="61F075B6" w14:textId="74EFA031" w:rsidR="00D3159E" w:rsidRDefault="00136379" w:rsidP="00382A72">
      <w:pPr>
        <w:rPr>
          <w:rFonts w:ascii="Times New Roman" w:hAnsi="Times New Roman" w:cs="Times New Roman"/>
        </w:rPr>
      </w:pPr>
      <w:r w:rsidRPr="00136379">
        <w:rPr>
          <w:rFonts w:ascii="Times New Roman" w:hAnsi="Times New Roman" w:cs="Times New Roman"/>
        </w:rPr>
        <w:t>Medicare fee-for-service (FFS) payment rates often differ for the same</w:t>
      </w:r>
      <w:r>
        <w:rPr>
          <w:rFonts w:ascii="Times New Roman" w:hAnsi="Times New Roman" w:cs="Times New Roman"/>
        </w:rPr>
        <w:t xml:space="preserve"> </w:t>
      </w:r>
      <w:r w:rsidRPr="00136379">
        <w:rPr>
          <w:rFonts w:ascii="Times New Roman" w:hAnsi="Times New Roman" w:cs="Times New Roman"/>
        </w:rPr>
        <w:t>service across ambulatory settings (hospital outpatient departments</w:t>
      </w:r>
      <w:r>
        <w:rPr>
          <w:rFonts w:ascii="Times New Roman" w:hAnsi="Times New Roman" w:cs="Times New Roman"/>
        </w:rPr>
        <w:t xml:space="preserve"> </w:t>
      </w:r>
      <w:r w:rsidRPr="00136379">
        <w:rPr>
          <w:rFonts w:ascii="Times New Roman" w:hAnsi="Times New Roman" w:cs="Times New Roman"/>
        </w:rPr>
        <w:t>(HOPDs), ambulatory surgical centers (ASCs), and</w:t>
      </w:r>
      <w:r w:rsidR="00BE711B">
        <w:rPr>
          <w:rFonts w:ascii="Times New Roman" w:hAnsi="Times New Roman" w:cs="Times New Roman"/>
        </w:rPr>
        <w:t xml:space="preserve"> </w:t>
      </w:r>
      <w:r w:rsidRPr="00136379">
        <w:rPr>
          <w:rFonts w:ascii="Times New Roman" w:hAnsi="Times New Roman" w:cs="Times New Roman"/>
        </w:rPr>
        <w:t>freestanding physician</w:t>
      </w:r>
      <w:r w:rsidR="00BE711B">
        <w:rPr>
          <w:rFonts w:ascii="Times New Roman" w:hAnsi="Times New Roman" w:cs="Times New Roman"/>
        </w:rPr>
        <w:t xml:space="preserve"> </w:t>
      </w:r>
      <w:r w:rsidRPr="00136379">
        <w:rPr>
          <w:rFonts w:ascii="Times New Roman" w:hAnsi="Times New Roman" w:cs="Times New Roman"/>
        </w:rPr>
        <w:t>offices).</w:t>
      </w:r>
      <w:r w:rsidR="00BE711B">
        <w:rPr>
          <w:rFonts w:ascii="Times New Roman" w:hAnsi="Times New Roman" w:cs="Times New Roman"/>
        </w:rPr>
        <w:t xml:space="preserve"> </w:t>
      </w:r>
      <w:r w:rsidR="002B0B7D" w:rsidRPr="002B0B7D">
        <w:rPr>
          <w:rFonts w:ascii="Times New Roman" w:hAnsi="Times New Roman" w:cs="Times New Roman"/>
        </w:rPr>
        <w:t>In general, the Commission maintains that Medicare should base payment</w:t>
      </w:r>
      <w:r w:rsidR="002B0B7D">
        <w:rPr>
          <w:rFonts w:ascii="Times New Roman" w:hAnsi="Times New Roman" w:cs="Times New Roman"/>
        </w:rPr>
        <w:t xml:space="preserve"> </w:t>
      </w:r>
      <w:r w:rsidR="002B0B7D" w:rsidRPr="002B0B7D">
        <w:rPr>
          <w:rFonts w:ascii="Times New Roman" w:hAnsi="Times New Roman" w:cs="Times New Roman"/>
        </w:rPr>
        <w:t>rates on the resources needed to treat patients in the most efficient</w:t>
      </w:r>
      <w:r w:rsidR="002B0B7D">
        <w:rPr>
          <w:rFonts w:ascii="Times New Roman" w:hAnsi="Times New Roman" w:cs="Times New Roman"/>
        </w:rPr>
        <w:t xml:space="preserve"> </w:t>
      </w:r>
      <w:r w:rsidR="002B0B7D" w:rsidRPr="002B0B7D">
        <w:rPr>
          <w:rFonts w:ascii="Times New Roman" w:hAnsi="Times New Roman" w:cs="Times New Roman"/>
        </w:rPr>
        <w:t xml:space="preserve">setting. </w:t>
      </w:r>
      <w:r w:rsidR="002B0B7D">
        <w:rPr>
          <w:rFonts w:ascii="Times New Roman" w:hAnsi="Times New Roman" w:cs="Times New Roman"/>
        </w:rPr>
        <w:t>The Commission believes that i</w:t>
      </w:r>
      <w:r w:rsidR="002B0B7D" w:rsidRPr="002B0B7D">
        <w:rPr>
          <w:rFonts w:ascii="Times New Roman" w:hAnsi="Times New Roman" w:cs="Times New Roman"/>
        </w:rPr>
        <w:t>f the same service can be safely and appropriately provided in</w:t>
      </w:r>
      <w:r w:rsidR="002B0B7D">
        <w:rPr>
          <w:rFonts w:ascii="Times New Roman" w:hAnsi="Times New Roman" w:cs="Times New Roman"/>
        </w:rPr>
        <w:t xml:space="preserve"> </w:t>
      </w:r>
      <w:r w:rsidR="002B0B7D" w:rsidRPr="002B0B7D">
        <w:rPr>
          <w:rFonts w:ascii="Times New Roman" w:hAnsi="Times New Roman" w:cs="Times New Roman"/>
        </w:rPr>
        <w:t>different settings, a practical payor should not pay more for that</w:t>
      </w:r>
      <w:r w:rsidR="002B0B7D">
        <w:rPr>
          <w:rFonts w:ascii="Times New Roman" w:hAnsi="Times New Roman" w:cs="Times New Roman"/>
        </w:rPr>
        <w:t xml:space="preserve"> </w:t>
      </w:r>
      <w:r w:rsidR="002B0B7D" w:rsidRPr="002B0B7D">
        <w:rPr>
          <w:rFonts w:ascii="Times New Roman" w:hAnsi="Times New Roman" w:cs="Times New Roman"/>
        </w:rPr>
        <w:t>service in one setting than in</w:t>
      </w:r>
      <w:r w:rsidR="002B0B7D">
        <w:rPr>
          <w:rFonts w:ascii="Times New Roman" w:hAnsi="Times New Roman" w:cs="Times New Roman"/>
        </w:rPr>
        <w:t xml:space="preserve"> </w:t>
      </w:r>
      <w:r w:rsidR="002B0B7D" w:rsidRPr="002B0B7D">
        <w:rPr>
          <w:rFonts w:ascii="Times New Roman" w:hAnsi="Times New Roman" w:cs="Times New Roman"/>
        </w:rPr>
        <w:t>another.</w:t>
      </w:r>
      <w:r w:rsidR="006C252D">
        <w:rPr>
          <w:rFonts w:ascii="Times New Roman" w:hAnsi="Times New Roman" w:cs="Times New Roman"/>
        </w:rPr>
        <w:t xml:space="preserve"> In the June 2022 Report to Congress, the </w:t>
      </w:r>
      <w:r w:rsidR="00EA1799">
        <w:rPr>
          <w:rFonts w:ascii="Times New Roman" w:hAnsi="Times New Roman" w:cs="Times New Roman"/>
        </w:rPr>
        <w:t>Commission</w:t>
      </w:r>
      <w:r w:rsidR="006C252D">
        <w:rPr>
          <w:rFonts w:ascii="Times New Roman" w:hAnsi="Times New Roman" w:cs="Times New Roman"/>
        </w:rPr>
        <w:t xml:space="preserve"> discussed a method to identify the services for which it might be appropriate to align payment rates across HOPDs, ASCs, and freestanding </w:t>
      </w:r>
      <w:r w:rsidR="000B77AD">
        <w:rPr>
          <w:rFonts w:ascii="Times New Roman" w:hAnsi="Times New Roman" w:cs="Times New Roman"/>
        </w:rPr>
        <w:t>offices</w:t>
      </w:r>
      <w:r w:rsidR="006C252D">
        <w:rPr>
          <w:rFonts w:ascii="Times New Roman" w:hAnsi="Times New Roman" w:cs="Times New Roman"/>
        </w:rPr>
        <w:t xml:space="preserve">. </w:t>
      </w:r>
      <w:r w:rsidR="0091266E">
        <w:rPr>
          <w:rFonts w:ascii="Times New Roman" w:hAnsi="Times New Roman" w:cs="Times New Roman"/>
        </w:rPr>
        <w:t xml:space="preserve">The </w:t>
      </w:r>
      <w:r w:rsidR="00382A72">
        <w:rPr>
          <w:rFonts w:ascii="Times New Roman" w:hAnsi="Times New Roman" w:cs="Times New Roman"/>
        </w:rPr>
        <w:t xml:space="preserve">model </w:t>
      </w:r>
      <w:r w:rsidR="00382A72" w:rsidRPr="00382A72">
        <w:rPr>
          <w:rFonts w:ascii="Times New Roman" w:hAnsi="Times New Roman" w:cs="Times New Roman"/>
        </w:rPr>
        <w:t>aligns the payment rates in the outpatient prospective</w:t>
      </w:r>
      <w:r w:rsidR="00382A72">
        <w:rPr>
          <w:rFonts w:ascii="Times New Roman" w:hAnsi="Times New Roman" w:cs="Times New Roman"/>
        </w:rPr>
        <w:t xml:space="preserve"> </w:t>
      </w:r>
      <w:r w:rsidR="00382A72" w:rsidRPr="00382A72">
        <w:rPr>
          <w:rFonts w:ascii="Times New Roman" w:hAnsi="Times New Roman" w:cs="Times New Roman"/>
        </w:rPr>
        <w:t xml:space="preserve">payment system (OPPS) and the ASC payment system with the payment rates from the </w:t>
      </w:r>
      <w:r w:rsidR="00382A72">
        <w:rPr>
          <w:rFonts w:ascii="Times New Roman" w:hAnsi="Times New Roman" w:cs="Times New Roman"/>
        </w:rPr>
        <w:t xml:space="preserve">physician fee schedule (PFS). </w:t>
      </w:r>
      <w:r w:rsidR="008A2D8E">
        <w:rPr>
          <w:rFonts w:ascii="Times New Roman" w:hAnsi="Times New Roman" w:cs="Times New Roman"/>
        </w:rPr>
        <w:t xml:space="preserve">If ASCs </w:t>
      </w:r>
      <w:r w:rsidR="0020212C">
        <w:rPr>
          <w:rFonts w:ascii="Times New Roman" w:hAnsi="Times New Roman" w:cs="Times New Roman"/>
        </w:rPr>
        <w:t>had the highest volume of a service, the MedPAC a</w:t>
      </w:r>
      <w:r w:rsidR="00B1149C">
        <w:rPr>
          <w:rFonts w:ascii="Times New Roman" w:hAnsi="Times New Roman" w:cs="Times New Roman"/>
        </w:rPr>
        <w:t>ligned the OPPS payment rate</w:t>
      </w:r>
      <w:r w:rsidR="00CC14F4">
        <w:rPr>
          <w:rFonts w:ascii="Times New Roman" w:hAnsi="Times New Roman" w:cs="Times New Roman"/>
        </w:rPr>
        <w:t xml:space="preserve"> with t</w:t>
      </w:r>
      <w:r w:rsidR="00C8049F">
        <w:rPr>
          <w:rFonts w:ascii="Times New Roman" w:hAnsi="Times New Roman" w:cs="Times New Roman"/>
        </w:rPr>
        <w:t>he ASC</w:t>
      </w:r>
      <w:r w:rsidR="009D23EC">
        <w:rPr>
          <w:rFonts w:ascii="Times New Roman" w:hAnsi="Times New Roman" w:cs="Times New Roman"/>
        </w:rPr>
        <w:t xml:space="preserve"> payment rate, with no changes to the PFS. If the HOPDs had the highest volume, </w:t>
      </w:r>
      <w:r w:rsidR="00642947">
        <w:rPr>
          <w:rFonts w:ascii="Times New Roman" w:hAnsi="Times New Roman" w:cs="Times New Roman"/>
        </w:rPr>
        <w:t xml:space="preserve">the MedPAC determined it was unsafe </w:t>
      </w:r>
      <w:r w:rsidR="00611AA9">
        <w:rPr>
          <w:rFonts w:ascii="Times New Roman" w:hAnsi="Times New Roman" w:cs="Times New Roman"/>
        </w:rPr>
        <w:t xml:space="preserve">to provide the service outside of the HOPD. </w:t>
      </w:r>
    </w:p>
    <w:p w14:paraId="230E52ED" w14:textId="77777777" w:rsidR="00ED74FD" w:rsidRDefault="00ED74FD" w:rsidP="00382A72">
      <w:pPr>
        <w:rPr>
          <w:rFonts w:ascii="Times New Roman" w:hAnsi="Times New Roman" w:cs="Times New Roman"/>
        </w:rPr>
      </w:pPr>
    </w:p>
    <w:p w14:paraId="47CB1157" w14:textId="0C392E84" w:rsidR="00D728E6" w:rsidRPr="00D728E6" w:rsidRDefault="00ED74FD" w:rsidP="00D728E6">
      <w:pPr>
        <w:rPr>
          <w:rFonts w:ascii="Times New Roman" w:hAnsi="Times New Roman" w:cs="Times New Roman"/>
        </w:rPr>
      </w:pPr>
      <w:r>
        <w:rPr>
          <w:rFonts w:ascii="Times New Roman" w:hAnsi="Times New Roman" w:cs="Times New Roman"/>
        </w:rPr>
        <w:t>This year, MedPAC has updated their an</w:t>
      </w:r>
      <w:r w:rsidR="007E46F8">
        <w:rPr>
          <w:rFonts w:ascii="Times New Roman" w:hAnsi="Times New Roman" w:cs="Times New Roman"/>
        </w:rPr>
        <w:t xml:space="preserve">alysis with more recent data. </w:t>
      </w:r>
      <w:r w:rsidR="00B765F9">
        <w:rPr>
          <w:rFonts w:ascii="Times New Roman" w:hAnsi="Times New Roman" w:cs="Times New Roman"/>
        </w:rPr>
        <w:t xml:space="preserve">The MedPAC identified </w:t>
      </w:r>
      <w:r w:rsidR="00F83E9E">
        <w:rPr>
          <w:rFonts w:ascii="Times New Roman" w:hAnsi="Times New Roman" w:cs="Times New Roman"/>
        </w:rPr>
        <w:t>57 ambulatory payment classifications (APCs)</w:t>
      </w:r>
      <w:r w:rsidR="00383D76">
        <w:rPr>
          <w:rFonts w:ascii="Times New Roman" w:hAnsi="Times New Roman" w:cs="Times New Roman"/>
        </w:rPr>
        <w:t xml:space="preserve"> for which freestanding offices had the largest volume. </w:t>
      </w:r>
      <w:r w:rsidR="00D728E6" w:rsidRPr="00D728E6">
        <w:rPr>
          <w:rFonts w:ascii="Times New Roman" w:hAnsi="Times New Roman" w:cs="Times New Roman"/>
        </w:rPr>
        <w:t xml:space="preserve">For the services in these APCs, </w:t>
      </w:r>
      <w:r w:rsidR="00D728E6">
        <w:rPr>
          <w:rFonts w:ascii="Times New Roman" w:hAnsi="Times New Roman" w:cs="Times New Roman"/>
        </w:rPr>
        <w:t>MedPAC</w:t>
      </w:r>
      <w:r w:rsidR="00D728E6" w:rsidRPr="00D728E6">
        <w:rPr>
          <w:rFonts w:ascii="Times New Roman" w:hAnsi="Times New Roman" w:cs="Times New Roman"/>
        </w:rPr>
        <w:t xml:space="preserve"> aligned the OPPS payment rates and</w:t>
      </w:r>
    </w:p>
    <w:p w14:paraId="27F979B1" w14:textId="60963BCF" w:rsidR="00B8057E" w:rsidRDefault="00D728E6" w:rsidP="001D17C4">
      <w:pPr>
        <w:rPr>
          <w:rFonts w:ascii="Times New Roman" w:hAnsi="Times New Roman" w:cs="Times New Roman"/>
        </w:rPr>
      </w:pPr>
      <w:r w:rsidRPr="00D728E6">
        <w:rPr>
          <w:rFonts w:ascii="Times New Roman" w:hAnsi="Times New Roman" w:cs="Times New Roman"/>
        </w:rPr>
        <w:t xml:space="preserve">ASC payment rates </w:t>
      </w:r>
      <w:proofErr w:type="gramStart"/>
      <w:r w:rsidRPr="00D728E6">
        <w:rPr>
          <w:rFonts w:ascii="Times New Roman" w:hAnsi="Times New Roman" w:cs="Times New Roman"/>
        </w:rPr>
        <w:t>more</w:t>
      </w:r>
      <w:proofErr w:type="gramEnd"/>
      <w:r w:rsidRPr="00D728E6">
        <w:rPr>
          <w:rFonts w:ascii="Times New Roman" w:hAnsi="Times New Roman" w:cs="Times New Roman"/>
        </w:rPr>
        <w:t xml:space="preserve"> closely with the PFS payment rate</w:t>
      </w:r>
      <w:r>
        <w:rPr>
          <w:rFonts w:ascii="Times New Roman" w:hAnsi="Times New Roman" w:cs="Times New Roman"/>
        </w:rPr>
        <w:t xml:space="preserve">s. </w:t>
      </w:r>
      <w:r w:rsidR="00B8057E">
        <w:rPr>
          <w:rFonts w:ascii="Times New Roman" w:hAnsi="Times New Roman" w:cs="Times New Roman"/>
        </w:rPr>
        <w:t xml:space="preserve">Included in the 57 APCs </w:t>
      </w:r>
      <w:r w:rsidR="00782711">
        <w:rPr>
          <w:rFonts w:ascii="Times New Roman" w:hAnsi="Times New Roman" w:cs="Times New Roman"/>
        </w:rPr>
        <w:t xml:space="preserve">with freestanding office having the largest volume, </w:t>
      </w:r>
      <w:r w:rsidR="003550E6">
        <w:rPr>
          <w:rFonts w:ascii="Times New Roman" w:hAnsi="Times New Roman" w:cs="Times New Roman"/>
        </w:rPr>
        <w:t xml:space="preserve">was three imaging </w:t>
      </w:r>
      <w:proofErr w:type="gramStart"/>
      <w:r w:rsidR="003550E6">
        <w:rPr>
          <w:rFonts w:ascii="Times New Roman" w:hAnsi="Times New Roman" w:cs="Times New Roman"/>
        </w:rPr>
        <w:t>APCs;</w:t>
      </w:r>
      <w:proofErr w:type="gramEnd"/>
      <w:r w:rsidR="003550E6">
        <w:rPr>
          <w:rFonts w:ascii="Times New Roman" w:hAnsi="Times New Roman" w:cs="Times New Roman"/>
        </w:rPr>
        <w:t xml:space="preserve"> </w:t>
      </w:r>
      <w:r w:rsidR="00CA280E" w:rsidRPr="00CA280E">
        <w:rPr>
          <w:rFonts w:ascii="Times New Roman" w:hAnsi="Times New Roman" w:cs="Times New Roman"/>
        </w:rPr>
        <w:t>Level 1 imaging w/o contrast</w:t>
      </w:r>
      <w:r w:rsidR="00CA280E">
        <w:rPr>
          <w:rFonts w:ascii="Times New Roman" w:hAnsi="Times New Roman" w:cs="Times New Roman"/>
        </w:rPr>
        <w:t xml:space="preserve"> (5521), </w:t>
      </w:r>
      <w:r w:rsidR="00C121F6" w:rsidRPr="00C121F6">
        <w:rPr>
          <w:rFonts w:ascii="Times New Roman" w:hAnsi="Times New Roman" w:cs="Times New Roman"/>
        </w:rPr>
        <w:t xml:space="preserve">Level </w:t>
      </w:r>
      <w:r w:rsidR="00C121F6">
        <w:rPr>
          <w:rFonts w:ascii="Times New Roman" w:hAnsi="Times New Roman" w:cs="Times New Roman"/>
        </w:rPr>
        <w:t>2</w:t>
      </w:r>
      <w:r w:rsidR="00C121F6" w:rsidRPr="00C121F6">
        <w:rPr>
          <w:rFonts w:ascii="Times New Roman" w:hAnsi="Times New Roman" w:cs="Times New Roman"/>
        </w:rPr>
        <w:t xml:space="preserve"> imaging w/o contrast</w:t>
      </w:r>
      <w:r w:rsidR="00C121F6">
        <w:rPr>
          <w:rFonts w:ascii="Times New Roman" w:hAnsi="Times New Roman" w:cs="Times New Roman"/>
        </w:rPr>
        <w:t xml:space="preserve"> (5522), and </w:t>
      </w:r>
      <w:r w:rsidR="00C121F6" w:rsidRPr="00C121F6">
        <w:rPr>
          <w:rFonts w:ascii="Times New Roman" w:hAnsi="Times New Roman" w:cs="Times New Roman"/>
        </w:rPr>
        <w:t>Level 3 imaging w/o contrast</w:t>
      </w:r>
      <w:r w:rsidR="00C121F6">
        <w:rPr>
          <w:rFonts w:ascii="Times New Roman" w:hAnsi="Times New Roman" w:cs="Times New Roman"/>
        </w:rPr>
        <w:t xml:space="preserve"> (5523).</w:t>
      </w:r>
    </w:p>
    <w:p w14:paraId="25993CFF" w14:textId="77777777" w:rsidR="00B8057E" w:rsidRDefault="00B8057E" w:rsidP="001D17C4">
      <w:pPr>
        <w:rPr>
          <w:rFonts w:ascii="Times New Roman" w:hAnsi="Times New Roman" w:cs="Times New Roman"/>
        </w:rPr>
      </w:pPr>
    </w:p>
    <w:p w14:paraId="6A73D7C1" w14:textId="28BE3F90" w:rsidR="00ED74FD" w:rsidRPr="000E01CA" w:rsidRDefault="00D728E6" w:rsidP="0043192F">
      <w:pPr>
        <w:rPr>
          <w:rFonts w:ascii="Times New Roman" w:hAnsi="Times New Roman" w:cs="Times New Roman"/>
        </w:rPr>
      </w:pPr>
      <w:r>
        <w:rPr>
          <w:rFonts w:ascii="Times New Roman" w:hAnsi="Times New Roman" w:cs="Times New Roman"/>
        </w:rPr>
        <w:t xml:space="preserve">For nine </w:t>
      </w:r>
      <w:r w:rsidR="00D66A82">
        <w:rPr>
          <w:rFonts w:ascii="Times New Roman" w:hAnsi="Times New Roman" w:cs="Times New Roman"/>
        </w:rPr>
        <w:t>APCs</w:t>
      </w:r>
      <w:r w:rsidR="001E541D">
        <w:rPr>
          <w:rFonts w:ascii="Times New Roman" w:hAnsi="Times New Roman" w:cs="Times New Roman"/>
        </w:rPr>
        <w:t xml:space="preserve"> that ASCs had the highest volume, those s</w:t>
      </w:r>
      <w:r w:rsidR="00857ED5">
        <w:rPr>
          <w:rFonts w:ascii="Times New Roman" w:hAnsi="Times New Roman" w:cs="Times New Roman"/>
        </w:rPr>
        <w:t xml:space="preserve">ervices </w:t>
      </w:r>
      <w:r w:rsidR="009D0BE7">
        <w:rPr>
          <w:rFonts w:ascii="Times New Roman" w:hAnsi="Times New Roman" w:cs="Times New Roman"/>
        </w:rPr>
        <w:t xml:space="preserve">payment rates </w:t>
      </w:r>
      <w:r w:rsidR="009D0BE7" w:rsidRPr="009D0BE7">
        <w:rPr>
          <w:rFonts w:ascii="Times New Roman" w:hAnsi="Times New Roman" w:cs="Times New Roman"/>
        </w:rPr>
        <w:t>aligned the OPPS payment rates with the ASC</w:t>
      </w:r>
      <w:r w:rsidR="009D0BE7">
        <w:rPr>
          <w:rFonts w:ascii="Times New Roman" w:hAnsi="Times New Roman" w:cs="Times New Roman"/>
        </w:rPr>
        <w:t xml:space="preserve"> </w:t>
      </w:r>
      <w:r w:rsidR="009D0BE7" w:rsidRPr="009D0BE7">
        <w:rPr>
          <w:rFonts w:ascii="Times New Roman" w:hAnsi="Times New Roman" w:cs="Times New Roman"/>
        </w:rPr>
        <w:t>payment rates.</w:t>
      </w:r>
      <w:r w:rsidR="00586A04">
        <w:rPr>
          <w:rFonts w:ascii="Times New Roman" w:hAnsi="Times New Roman" w:cs="Times New Roman"/>
        </w:rPr>
        <w:t xml:space="preserve"> The remaining </w:t>
      </w:r>
      <w:r w:rsidR="001D17C4" w:rsidRPr="001D17C4">
        <w:rPr>
          <w:rFonts w:ascii="Times New Roman" w:hAnsi="Times New Roman" w:cs="Times New Roman"/>
        </w:rPr>
        <w:t>103 APCs, HOPDs had the highest volume,</w:t>
      </w:r>
      <w:r w:rsidR="001D17C4">
        <w:rPr>
          <w:rFonts w:ascii="Times New Roman" w:hAnsi="Times New Roman" w:cs="Times New Roman"/>
        </w:rPr>
        <w:t xml:space="preserve"> and no change</w:t>
      </w:r>
      <w:r w:rsidR="001D17C4" w:rsidRPr="001D17C4">
        <w:rPr>
          <w:rFonts w:ascii="Times New Roman" w:hAnsi="Times New Roman" w:cs="Times New Roman"/>
        </w:rPr>
        <w:t xml:space="preserve"> to the rates in each of the three ambulatory</w:t>
      </w:r>
      <w:r w:rsidR="001D17C4">
        <w:rPr>
          <w:rFonts w:ascii="Times New Roman" w:hAnsi="Times New Roman" w:cs="Times New Roman"/>
        </w:rPr>
        <w:t xml:space="preserve"> </w:t>
      </w:r>
      <w:r w:rsidR="001D17C4" w:rsidRPr="001D17C4">
        <w:rPr>
          <w:rFonts w:ascii="Times New Roman" w:hAnsi="Times New Roman" w:cs="Times New Roman"/>
        </w:rPr>
        <w:t>settings.</w:t>
      </w:r>
    </w:p>
    <w:p w14:paraId="167818E9" w14:textId="77777777" w:rsidR="004D4997" w:rsidRDefault="004D4997" w:rsidP="002657FE">
      <w:pPr>
        <w:rPr>
          <w:rFonts w:ascii="Times New Roman" w:hAnsi="Times New Roman" w:cs="Times New Roman"/>
          <w:i/>
          <w:iCs/>
        </w:rPr>
      </w:pPr>
    </w:p>
    <w:p w14:paraId="41818432" w14:textId="01E4431F" w:rsidR="004D4997" w:rsidRDefault="004D4997" w:rsidP="002657FE">
      <w:pPr>
        <w:rPr>
          <w:rFonts w:ascii="Times New Roman" w:hAnsi="Times New Roman" w:cs="Times New Roman"/>
          <w:i/>
          <w:iCs/>
        </w:rPr>
      </w:pPr>
      <w:r>
        <w:rPr>
          <w:rFonts w:ascii="Times New Roman" w:hAnsi="Times New Roman" w:cs="Times New Roman"/>
          <w:i/>
          <w:iCs/>
        </w:rPr>
        <w:t xml:space="preserve">Recommendation </w:t>
      </w:r>
    </w:p>
    <w:p w14:paraId="01724022" w14:textId="55E2B33B" w:rsidR="004D4997" w:rsidRDefault="00776186" w:rsidP="00776186">
      <w:pPr>
        <w:rPr>
          <w:rFonts w:ascii="Times New Roman" w:hAnsi="Times New Roman" w:cs="Times New Roman"/>
          <w:b/>
          <w:bCs/>
        </w:rPr>
      </w:pPr>
      <w:r w:rsidRPr="009E06F3">
        <w:rPr>
          <w:rFonts w:ascii="Times New Roman" w:hAnsi="Times New Roman" w:cs="Times New Roman"/>
          <w:b/>
          <w:bCs/>
        </w:rPr>
        <w:t>The Congress should more closely align payment rates across ambulatory settings for selected services that are safe and appropriate to provide in all settings and when doing so does not pose a risk to access</w:t>
      </w:r>
      <w:r w:rsidR="009E06F3">
        <w:rPr>
          <w:rFonts w:ascii="Times New Roman" w:hAnsi="Times New Roman" w:cs="Times New Roman"/>
          <w:b/>
          <w:bCs/>
        </w:rPr>
        <w:t>.</w:t>
      </w:r>
    </w:p>
    <w:p w14:paraId="1BE0DCFE" w14:textId="77777777" w:rsidR="00732538" w:rsidRDefault="00B67D84" w:rsidP="00B67D84">
      <w:pPr>
        <w:pStyle w:val="ListParagraph"/>
        <w:numPr>
          <w:ilvl w:val="0"/>
          <w:numId w:val="1"/>
        </w:numPr>
        <w:rPr>
          <w:rFonts w:ascii="Times New Roman" w:hAnsi="Times New Roman" w:cs="Times New Roman"/>
        </w:rPr>
      </w:pPr>
      <w:r w:rsidRPr="00B67D84">
        <w:rPr>
          <w:rFonts w:ascii="Times New Roman" w:hAnsi="Times New Roman" w:cs="Times New Roman"/>
        </w:rPr>
        <w:t xml:space="preserve">In aligning payments across settings, CMS should determine that the service is safe and appropriate to provide in ambulatory settings outside of HOPDs in </w:t>
      </w:r>
      <w:r w:rsidR="00732538" w:rsidRPr="00B67D84">
        <w:rPr>
          <w:rFonts w:ascii="Times New Roman" w:hAnsi="Times New Roman" w:cs="Times New Roman"/>
        </w:rPr>
        <w:t>most</w:t>
      </w:r>
      <w:r w:rsidRPr="00B67D84">
        <w:rPr>
          <w:rFonts w:ascii="Times New Roman" w:hAnsi="Times New Roman" w:cs="Times New Roman"/>
        </w:rPr>
        <w:t xml:space="preserve"> circumstances. </w:t>
      </w:r>
    </w:p>
    <w:p w14:paraId="32FDA082" w14:textId="744F28E5" w:rsidR="00B67D84" w:rsidRPr="00B67D84" w:rsidRDefault="00B67D84" w:rsidP="00B67D84">
      <w:pPr>
        <w:pStyle w:val="ListParagraph"/>
        <w:numPr>
          <w:ilvl w:val="0"/>
          <w:numId w:val="1"/>
        </w:numPr>
        <w:rPr>
          <w:rFonts w:ascii="Times New Roman" w:hAnsi="Times New Roman" w:cs="Times New Roman"/>
        </w:rPr>
      </w:pPr>
      <w:r w:rsidRPr="00B67D84">
        <w:rPr>
          <w:rFonts w:ascii="Times New Roman" w:hAnsi="Times New Roman" w:cs="Times New Roman"/>
        </w:rPr>
        <w:t>CMS should include only services that would not result in hospitals reducing beneficiaries’ access to care or acting in other unintended and undesirable ways.</w:t>
      </w:r>
    </w:p>
    <w:p w14:paraId="023CD633" w14:textId="77777777" w:rsidR="00732538" w:rsidRDefault="00095F66" w:rsidP="00095F66">
      <w:pPr>
        <w:pStyle w:val="ListParagraph"/>
        <w:numPr>
          <w:ilvl w:val="0"/>
          <w:numId w:val="1"/>
        </w:numPr>
        <w:rPr>
          <w:rFonts w:ascii="Times New Roman" w:hAnsi="Times New Roman" w:cs="Times New Roman"/>
        </w:rPr>
      </w:pPr>
      <w:r w:rsidRPr="00095F66">
        <w:rPr>
          <w:rFonts w:ascii="Times New Roman" w:hAnsi="Times New Roman" w:cs="Times New Roman"/>
        </w:rPr>
        <w:t xml:space="preserve">CMS should also ensure that payment rate alignment does not adversely affect hospitals’ ability to maintain emergency care and standby capacity. The budget neutral adjustment that CMS would make to the nonaligned services would support emergency care and standby capacity by raising OPPS payment rates for ED visits. </w:t>
      </w:r>
    </w:p>
    <w:p w14:paraId="5F2DB46E" w14:textId="77777777" w:rsidR="00732538" w:rsidRDefault="00095F66" w:rsidP="00095F66">
      <w:pPr>
        <w:pStyle w:val="ListParagraph"/>
        <w:numPr>
          <w:ilvl w:val="0"/>
          <w:numId w:val="1"/>
        </w:numPr>
        <w:rPr>
          <w:rFonts w:ascii="Times New Roman" w:hAnsi="Times New Roman" w:cs="Times New Roman"/>
        </w:rPr>
      </w:pPr>
      <w:r w:rsidRPr="00095F66">
        <w:rPr>
          <w:rFonts w:ascii="Times New Roman" w:hAnsi="Times New Roman" w:cs="Times New Roman"/>
        </w:rPr>
        <w:t xml:space="preserve">CMS could augment the aligned payment rates when one of the aligned services is provided as part of a visit for emergency care. </w:t>
      </w:r>
    </w:p>
    <w:p w14:paraId="2E815134" w14:textId="25E16FBC" w:rsidR="00095F66" w:rsidRPr="00095F66" w:rsidRDefault="00095F66" w:rsidP="00095F66">
      <w:pPr>
        <w:pStyle w:val="ListParagraph"/>
        <w:numPr>
          <w:ilvl w:val="0"/>
          <w:numId w:val="1"/>
        </w:numPr>
        <w:rPr>
          <w:rFonts w:ascii="Times New Roman" w:hAnsi="Times New Roman" w:cs="Times New Roman"/>
        </w:rPr>
      </w:pPr>
      <w:r w:rsidRPr="00095F66">
        <w:rPr>
          <w:rFonts w:ascii="Times New Roman" w:hAnsi="Times New Roman" w:cs="Times New Roman"/>
        </w:rPr>
        <w:t>CMS should closely monitor the effect that payment rate alignment has on beneficiary access to the services that have aligned payment rates</w:t>
      </w:r>
      <w:r w:rsidR="00C92C0D">
        <w:rPr>
          <w:rFonts w:ascii="Times New Roman" w:hAnsi="Times New Roman" w:cs="Times New Roman"/>
        </w:rPr>
        <w:t>.</w:t>
      </w:r>
    </w:p>
    <w:p w14:paraId="1CD4E940" w14:textId="77777777" w:rsidR="00B82E94" w:rsidRDefault="00B82E94" w:rsidP="00B82E94">
      <w:pPr>
        <w:rPr>
          <w:rFonts w:ascii="Times New Roman" w:hAnsi="Times New Roman" w:cs="Times New Roman"/>
        </w:rPr>
      </w:pPr>
    </w:p>
    <w:p w14:paraId="3F630C3E" w14:textId="1698D38D" w:rsidR="00B82E94" w:rsidRPr="00B82E94" w:rsidRDefault="00B82E94" w:rsidP="00B82E94">
      <w:pPr>
        <w:rPr>
          <w:rFonts w:ascii="Times New Roman" w:hAnsi="Times New Roman" w:cs="Times New Roman"/>
        </w:rPr>
      </w:pPr>
      <w:r>
        <w:rPr>
          <w:rFonts w:ascii="Times New Roman" w:hAnsi="Times New Roman" w:cs="Times New Roman"/>
        </w:rPr>
        <w:t xml:space="preserve">The MedPAC determined that the recommendation would have no direct </w:t>
      </w:r>
      <w:r w:rsidR="00DA1480">
        <w:rPr>
          <w:rFonts w:ascii="Times New Roman" w:hAnsi="Times New Roman" w:cs="Times New Roman"/>
        </w:rPr>
        <w:t xml:space="preserve">impact on Medicare program spending </w:t>
      </w:r>
      <w:r w:rsidR="003454F6">
        <w:rPr>
          <w:rFonts w:ascii="Times New Roman" w:hAnsi="Times New Roman" w:cs="Times New Roman"/>
        </w:rPr>
        <w:t>because CMS would apply budget neutral increases to the OPPS payment rates of the non</w:t>
      </w:r>
      <w:r w:rsidR="008B2D69">
        <w:rPr>
          <w:rFonts w:ascii="Times New Roman" w:hAnsi="Times New Roman" w:cs="Times New Roman"/>
        </w:rPr>
        <w:t>-aligned</w:t>
      </w:r>
      <w:r w:rsidR="003454F6">
        <w:rPr>
          <w:rFonts w:ascii="Times New Roman" w:hAnsi="Times New Roman" w:cs="Times New Roman"/>
        </w:rPr>
        <w:t xml:space="preserve"> services </w:t>
      </w:r>
      <w:r w:rsidR="00815364">
        <w:rPr>
          <w:rFonts w:ascii="Times New Roman" w:hAnsi="Times New Roman" w:cs="Times New Roman"/>
        </w:rPr>
        <w:t xml:space="preserve">to offset </w:t>
      </w:r>
      <w:r w:rsidR="006C6C39">
        <w:rPr>
          <w:rFonts w:ascii="Times New Roman" w:hAnsi="Times New Roman" w:cs="Times New Roman"/>
        </w:rPr>
        <w:t>the</w:t>
      </w:r>
      <w:r w:rsidR="00815364">
        <w:rPr>
          <w:rFonts w:ascii="Times New Roman" w:hAnsi="Times New Roman" w:cs="Times New Roman"/>
        </w:rPr>
        <w:t xml:space="preserve"> effects of the lower aligned payment rates. </w:t>
      </w:r>
    </w:p>
    <w:sectPr w:rsidR="00B82E94" w:rsidRPr="00B82E94" w:rsidSect="00D30673">
      <w:headerReference w:type="default" r:id="rId7"/>
      <w:footerReference w:type="default" r:id="rId8"/>
      <w:pgSz w:w="12240" w:h="15840"/>
      <w:pgMar w:top="2149" w:right="1440" w:bottom="0" w:left="1440" w:header="584" w:footer="2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CA32" w14:textId="77777777" w:rsidR="00BD46EE" w:rsidRDefault="00BD46EE" w:rsidP="0043192F">
      <w:r>
        <w:separator/>
      </w:r>
    </w:p>
  </w:endnote>
  <w:endnote w:type="continuationSeparator" w:id="0">
    <w:p w14:paraId="6A5B1F69" w14:textId="77777777" w:rsidR="00BD46EE" w:rsidRDefault="00BD46EE" w:rsidP="0043192F">
      <w:r>
        <w:continuationSeparator/>
      </w:r>
    </w:p>
  </w:endnote>
  <w:endnote w:type="continuationNotice" w:id="1">
    <w:p w14:paraId="20E96A9E" w14:textId="77777777" w:rsidR="00BD46EE" w:rsidRDefault="00BD4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8902" w14:textId="5D7AF7A7" w:rsidR="0043192F" w:rsidRDefault="00D30673" w:rsidP="0043192F">
    <w:pPr>
      <w:pStyle w:val="Footer"/>
      <w:ind w:left="-1440" w:firstLine="90"/>
    </w:pPr>
    <w:r>
      <w:rPr>
        <w:noProof/>
      </w:rPr>
      <w:drawing>
        <wp:inline distT="0" distB="0" distL="0" distR="0" wp14:anchorId="517BA91B" wp14:editId="05ACFAC8">
          <wp:extent cx="7669161" cy="914400"/>
          <wp:effectExtent l="0" t="0" r="0" b="0"/>
          <wp:docPr id="392061927" name="Picture 39206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61927" name="Picture 392061927"/>
                  <pic:cNvPicPr/>
                </pic:nvPicPr>
                <pic:blipFill>
                  <a:blip r:embed="rId1">
                    <a:extLst>
                      <a:ext uri="{28A0092B-C50C-407E-A947-70E740481C1C}">
                        <a14:useLocalDpi xmlns:a14="http://schemas.microsoft.com/office/drawing/2010/main" val="0"/>
                      </a:ext>
                    </a:extLst>
                  </a:blip>
                  <a:stretch>
                    <a:fillRect/>
                  </a:stretch>
                </pic:blipFill>
                <pic:spPr>
                  <a:xfrm>
                    <a:off x="0" y="0"/>
                    <a:ext cx="7669161" cy="914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354E" w14:textId="77777777" w:rsidR="00BD46EE" w:rsidRDefault="00BD46EE" w:rsidP="0043192F">
      <w:r>
        <w:separator/>
      </w:r>
    </w:p>
  </w:footnote>
  <w:footnote w:type="continuationSeparator" w:id="0">
    <w:p w14:paraId="218CC225" w14:textId="77777777" w:rsidR="00BD46EE" w:rsidRDefault="00BD46EE" w:rsidP="0043192F">
      <w:r>
        <w:continuationSeparator/>
      </w:r>
    </w:p>
  </w:footnote>
  <w:footnote w:type="continuationNotice" w:id="1">
    <w:p w14:paraId="2ADC11D7" w14:textId="77777777" w:rsidR="00BD46EE" w:rsidRDefault="00BD4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CE44" w14:textId="23C0453A" w:rsidR="0043192F" w:rsidRDefault="0043192F" w:rsidP="006B5938">
    <w:pPr>
      <w:pStyle w:val="Header"/>
      <w:spacing w:before="240"/>
      <w:ind w:left="-1440" w:firstLine="810"/>
      <w:jc w:val="both"/>
    </w:pPr>
    <w:r>
      <w:rPr>
        <w:noProof/>
      </w:rPr>
      <w:drawing>
        <wp:inline distT="0" distB="0" distL="0" distR="0" wp14:anchorId="222C7EC4" wp14:editId="0C97A9D0">
          <wp:extent cx="1739591" cy="457200"/>
          <wp:effectExtent l="0" t="0" r="635" b="0"/>
          <wp:docPr id="1097184701" name="Picture 109718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13010" name="Picture 734113010"/>
                  <pic:cNvPicPr/>
                </pic:nvPicPr>
                <pic:blipFill>
                  <a:blip r:embed="rId1">
                    <a:extLst>
                      <a:ext uri="{28A0092B-C50C-407E-A947-70E740481C1C}">
                        <a14:useLocalDpi xmlns:a14="http://schemas.microsoft.com/office/drawing/2010/main" val="0"/>
                      </a:ext>
                    </a:extLst>
                  </a:blip>
                  <a:stretch>
                    <a:fillRect/>
                  </a:stretch>
                </pic:blipFill>
                <pic:spPr>
                  <a:xfrm>
                    <a:off x="0" y="0"/>
                    <a:ext cx="1739591"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B6F39"/>
    <w:multiLevelType w:val="hybridMultilevel"/>
    <w:tmpl w:val="3C48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97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2F"/>
    <w:rsid w:val="00013F9B"/>
    <w:rsid w:val="00023AB7"/>
    <w:rsid w:val="000260DF"/>
    <w:rsid w:val="00032213"/>
    <w:rsid w:val="0003339C"/>
    <w:rsid w:val="00052FF1"/>
    <w:rsid w:val="00062D85"/>
    <w:rsid w:val="00065A0B"/>
    <w:rsid w:val="00071833"/>
    <w:rsid w:val="000779AD"/>
    <w:rsid w:val="00093120"/>
    <w:rsid w:val="00093B7E"/>
    <w:rsid w:val="00095F66"/>
    <w:rsid w:val="00097A5F"/>
    <w:rsid w:val="000B1FD5"/>
    <w:rsid w:val="000B6CE7"/>
    <w:rsid w:val="000B77AD"/>
    <w:rsid w:val="000C0ECC"/>
    <w:rsid w:val="000C24FC"/>
    <w:rsid w:val="000C6097"/>
    <w:rsid w:val="000E01CA"/>
    <w:rsid w:val="000E1E74"/>
    <w:rsid w:val="000E5C9E"/>
    <w:rsid w:val="000F105B"/>
    <w:rsid w:val="000F2399"/>
    <w:rsid w:val="00106E0A"/>
    <w:rsid w:val="00127133"/>
    <w:rsid w:val="00133F4B"/>
    <w:rsid w:val="00136379"/>
    <w:rsid w:val="00144EC8"/>
    <w:rsid w:val="0015128D"/>
    <w:rsid w:val="00152084"/>
    <w:rsid w:val="00153695"/>
    <w:rsid w:val="00177DE9"/>
    <w:rsid w:val="00181FFF"/>
    <w:rsid w:val="00185173"/>
    <w:rsid w:val="00187CFE"/>
    <w:rsid w:val="001968E2"/>
    <w:rsid w:val="001A488A"/>
    <w:rsid w:val="001B1FBB"/>
    <w:rsid w:val="001C333F"/>
    <w:rsid w:val="001D17C4"/>
    <w:rsid w:val="001D2893"/>
    <w:rsid w:val="001D3830"/>
    <w:rsid w:val="001E48B7"/>
    <w:rsid w:val="001E541D"/>
    <w:rsid w:val="001E75B4"/>
    <w:rsid w:val="00200642"/>
    <w:rsid w:val="0020127F"/>
    <w:rsid w:val="0020212C"/>
    <w:rsid w:val="00207886"/>
    <w:rsid w:val="00212AEA"/>
    <w:rsid w:val="0022675C"/>
    <w:rsid w:val="00244EF8"/>
    <w:rsid w:val="00250153"/>
    <w:rsid w:val="0025428C"/>
    <w:rsid w:val="002657FE"/>
    <w:rsid w:val="00290C11"/>
    <w:rsid w:val="00293ADF"/>
    <w:rsid w:val="002978A4"/>
    <w:rsid w:val="002A67CF"/>
    <w:rsid w:val="002A7099"/>
    <w:rsid w:val="002B0B7D"/>
    <w:rsid w:val="002B4728"/>
    <w:rsid w:val="002C7C86"/>
    <w:rsid w:val="002E2021"/>
    <w:rsid w:val="002F4BF1"/>
    <w:rsid w:val="003039C2"/>
    <w:rsid w:val="003152C4"/>
    <w:rsid w:val="00327B35"/>
    <w:rsid w:val="00327B44"/>
    <w:rsid w:val="003340E3"/>
    <w:rsid w:val="003454F6"/>
    <w:rsid w:val="00352482"/>
    <w:rsid w:val="003550E6"/>
    <w:rsid w:val="0036484B"/>
    <w:rsid w:val="00381F2A"/>
    <w:rsid w:val="00382A72"/>
    <w:rsid w:val="00383D76"/>
    <w:rsid w:val="003865CB"/>
    <w:rsid w:val="003B4B43"/>
    <w:rsid w:val="003C6487"/>
    <w:rsid w:val="003C7C96"/>
    <w:rsid w:val="003D60E4"/>
    <w:rsid w:val="003E347E"/>
    <w:rsid w:val="003E5132"/>
    <w:rsid w:val="00400764"/>
    <w:rsid w:val="004019B7"/>
    <w:rsid w:val="00404CD8"/>
    <w:rsid w:val="0042305A"/>
    <w:rsid w:val="004236BB"/>
    <w:rsid w:val="004316DE"/>
    <w:rsid w:val="0043192F"/>
    <w:rsid w:val="00434B76"/>
    <w:rsid w:val="00437C87"/>
    <w:rsid w:val="00446161"/>
    <w:rsid w:val="00450C46"/>
    <w:rsid w:val="0045619F"/>
    <w:rsid w:val="00485916"/>
    <w:rsid w:val="004C6E60"/>
    <w:rsid w:val="004D1A53"/>
    <w:rsid w:val="004D4997"/>
    <w:rsid w:val="0052186C"/>
    <w:rsid w:val="00546E0D"/>
    <w:rsid w:val="00555E18"/>
    <w:rsid w:val="00562BE7"/>
    <w:rsid w:val="00573336"/>
    <w:rsid w:val="00586A04"/>
    <w:rsid w:val="005A2DC7"/>
    <w:rsid w:val="005A3A25"/>
    <w:rsid w:val="005A6D5C"/>
    <w:rsid w:val="005B7FD7"/>
    <w:rsid w:val="005C36CF"/>
    <w:rsid w:val="005D5458"/>
    <w:rsid w:val="005E33A1"/>
    <w:rsid w:val="005F7365"/>
    <w:rsid w:val="00611AA9"/>
    <w:rsid w:val="00616609"/>
    <w:rsid w:val="00626C6B"/>
    <w:rsid w:val="00630A52"/>
    <w:rsid w:val="00633F4E"/>
    <w:rsid w:val="00642947"/>
    <w:rsid w:val="00643CDD"/>
    <w:rsid w:val="00650862"/>
    <w:rsid w:val="006520AC"/>
    <w:rsid w:val="00661E9A"/>
    <w:rsid w:val="00667D35"/>
    <w:rsid w:val="00680AD6"/>
    <w:rsid w:val="006955AE"/>
    <w:rsid w:val="006A1ABF"/>
    <w:rsid w:val="006A76F8"/>
    <w:rsid w:val="006B5938"/>
    <w:rsid w:val="006C252D"/>
    <w:rsid w:val="006C6C39"/>
    <w:rsid w:val="006D00AD"/>
    <w:rsid w:val="006E0595"/>
    <w:rsid w:val="00721770"/>
    <w:rsid w:val="00727464"/>
    <w:rsid w:val="00732538"/>
    <w:rsid w:val="00736F14"/>
    <w:rsid w:val="00742319"/>
    <w:rsid w:val="00755725"/>
    <w:rsid w:val="007557C7"/>
    <w:rsid w:val="0075658B"/>
    <w:rsid w:val="00771CA1"/>
    <w:rsid w:val="00776186"/>
    <w:rsid w:val="00782711"/>
    <w:rsid w:val="007830BC"/>
    <w:rsid w:val="0078575C"/>
    <w:rsid w:val="007957B3"/>
    <w:rsid w:val="007E1971"/>
    <w:rsid w:val="007E46F8"/>
    <w:rsid w:val="008102C3"/>
    <w:rsid w:val="00813DDE"/>
    <w:rsid w:val="00815364"/>
    <w:rsid w:val="00836FE7"/>
    <w:rsid w:val="00844150"/>
    <w:rsid w:val="00852A3F"/>
    <w:rsid w:val="00857ED5"/>
    <w:rsid w:val="00865EC5"/>
    <w:rsid w:val="008809DA"/>
    <w:rsid w:val="00885900"/>
    <w:rsid w:val="00896996"/>
    <w:rsid w:val="008A2D8E"/>
    <w:rsid w:val="008A487F"/>
    <w:rsid w:val="008A5126"/>
    <w:rsid w:val="008A6FE8"/>
    <w:rsid w:val="008B114F"/>
    <w:rsid w:val="008B2D69"/>
    <w:rsid w:val="008C3D8B"/>
    <w:rsid w:val="008C6EF5"/>
    <w:rsid w:val="008D62F3"/>
    <w:rsid w:val="008E5ABD"/>
    <w:rsid w:val="008E7B7A"/>
    <w:rsid w:val="0091266E"/>
    <w:rsid w:val="0091640A"/>
    <w:rsid w:val="00933919"/>
    <w:rsid w:val="009424CF"/>
    <w:rsid w:val="00964405"/>
    <w:rsid w:val="00966674"/>
    <w:rsid w:val="00975AD2"/>
    <w:rsid w:val="00986592"/>
    <w:rsid w:val="00994C2F"/>
    <w:rsid w:val="0099715B"/>
    <w:rsid w:val="009A1EDE"/>
    <w:rsid w:val="009A48A6"/>
    <w:rsid w:val="009A6479"/>
    <w:rsid w:val="009A725E"/>
    <w:rsid w:val="009B08FD"/>
    <w:rsid w:val="009B5FEE"/>
    <w:rsid w:val="009C07A9"/>
    <w:rsid w:val="009C4C18"/>
    <w:rsid w:val="009D0BE7"/>
    <w:rsid w:val="009D23EC"/>
    <w:rsid w:val="009D452B"/>
    <w:rsid w:val="009E06F3"/>
    <w:rsid w:val="009F3808"/>
    <w:rsid w:val="009F6931"/>
    <w:rsid w:val="00A00E69"/>
    <w:rsid w:val="00A113A1"/>
    <w:rsid w:val="00A17837"/>
    <w:rsid w:val="00A44323"/>
    <w:rsid w:val="00A56DFD"/>
    <w:rsid w:val="00A57284"/>
    <w:rsid w:val="00A850A0"/>
    <w:rsid w:val="00A92673"/>
    <w:rsid w:val="00A96588"/>
    <w:rsid w:val="00AB1AA3"/>
    <w:rsid w:val="00AE7487"/>
    <w:rsid w:val="00B06D09"/>
    <w:rsid w:val="00B06D24"/>
    <w:rsid w:val="00B1149C"/>
    <w:rsid w:val="00B13970"/>
    <w:rsid w:val="00B14FA0"/>
    <w:rsid w:val="00B159D1"/>
    <w:rsid w:val="00B252A6"/>
    <w:rsid w:val="00B26DAA"/>
    <w:rsid w:val="00B4413D"/>
    <w:rsid w:val="00B62D02"/>
    <w:rsid w:val="00B67D84"/>
    <w:rsid w:val="00B765F9"/>
    <w:rsid w:val="00B8057E"/>
    <w:rsid w:val="00B82E94"/>
    <w:rsid w:val="00B93A94"/>
    <w:rsid w:val="00BA241C"/>
    <w:rsid w:val="00BA63FE"/>
    <w:rsid w:val="00BB5DD5"/>
    <w:rsid w:val="00BC314F"/>
    <w:rsid w:val="00BD46EE"/>
    <w:rsid w:val="00BE711B"/>
    <w:rsid w:val="00BF7224"/>
    <w:rsid w:val="00BF7935"/>
    <w:rsid w:val="00C00824"/>
    <w:rsid w:val="00C11119"/>
    <w:rsid w:val="00C121F6"/>
    <w:rsid w:val="00C302FD"/>
    <w:rsid w:val="00C32846"/>
    <w:rsid w:val="00C452BE"/>
    <w:rsid w:val="00C45D50"/>
    <w:rsid w:val="00C53A6B"/>
    <w:rsid w:val="00C53EFA"/>
    <w:rsid w:val="00C54F71"/>
    <w:rsid w:val="00C55018"/>
    <w:rsid w:val="00C60241"/>
    <w:rsid w:val="00C62FE7"/>
    <w:rsid w:val="00C72B05"/>
    <w:rsid w:val="00C8049F"/>
    <w:rsid w:val="00C84D3A"/>
    <w:rsid w:val="00C85CC3"/>
    <w:rsid w:val="00C87729"/>
    <w:rsid w:val="00C92C0D"/>
    <w:rsid w:val="00C92DCF"/>
    <w:rsid w:val="00CA280E"/>
    <w:rsid w:val="00CB642F"/>
    <w:rsid w:val="00CB6F8F"/>
    <w:rsid w:val="00CB7E32"/>
    <w:rsid w:val="00CC14F4"/>
    <w:rsid w:val="00CC32B5"/>
    <w:rsid w:val="00CD0C19"/>
    <w:rsid w:val="00CD0F43"/>
    <w:rsid w:val="00CD4F88"/>
    <w:rsid w:val="00CD76E0"/>
    <w:rsid w:val="00CE1C15"/>
    <w:rsid w:val="00CE5B0E"/>
    <w:rsid w:val="00CE70C6"/>
    <w:rsid w:val="00D02208"/>
    <w:rsid w:val="00D1385C"/>
    <w:rsid w:val="00D30673"/>
    <w:rsid w:val="00D3159E"/>
    <w:rsid w:val="00D32CB0"/>
    <w:rsid w:val="00D52232"/>
    <w:rsid w:val="00D56175"/>
    <w:rsid w:val="00D66A82"/>
    <w:rsid w:val="00D728E6"/>
    <w:rsid w:val="00D75824"/>
    <w:rsid w:val="00D7635C"/>
    <w:rsid w:val="00D846C7"/>
    <w:rsid w:val="00D86C62"/>
    <w:rsid w:val="00D92CF6"/>
    <w:rsid w:val="00DA1480"/>
    <w:rsid w:val="00DA3847"/>
    <w:rsid w:val="00DB71F9"/>
    <w:rsid w:val="00DD49F0"/>
    <w:rsid w:val="00DD6D5A"/>
    <w:rsid w:val="00DD7C85"/>
    <w:rsid w:val="00DE2418"/>
    <w:rsid w:val="00DF7839"/>
    <w:rsid w:val="00E0061C"/>
    <w:rsid w:val="00E06B36"/>
    <w:rsid w:val="00E27358"/>
    <w:rsid w:val="00E36F6F"/>
    <w:rsid w:val="00E43EC2"/>
    <w:rsid w:val="00E53DA0"/>
    <w:rsid w:val="00E60258"/>
    <w:rsid w:val="00E64E6C"/>
    <w:rsid w:val="00E83104"/>
    <w:rsid w:val="00E92C7A"/>
    <w:rsid w:val="00EA1799"/>
    <w:rsid w:val="00EB0FC9"/>
    <w:rsid w:val="00EB670F"/>
    <w:rsid w:val="00ED74FD"/>
    <w:rsid w:val="00EE2477"/>
    <w:rsid w:val="00EE35C3"/>
    <w:rsid w:val="00EE6773"/>
    <w:rsid w:val="00EF27C9"/>
    <w:rsid w:val="00EF4BC7"/>
    <w:rsid w:val="00F30E6F"/>
    <w:rsid w:val="00F35A0D"/>
    <w:rsid w:val="00F37330"/>
    <w:rsid w:val="00F477F2"/>
    <w:rsid w:val="00F55AA6"/>
    <w:rsid w:val="00F83E9E"/>
    <w:rsid w:val="00F92059"/>
    <w:rsid w:val="00F93452"/>
    <w:rsid w:val="00FB5487"/>
    <w:rsid w:val="00FD49BC"/>
    <w:rsid w:val="00FD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D6EE"/>
  <w15:chartTrackingRefBased/>
  <w15:docId w15:val="{8B2623F2-A5A7-4FC7-9908-EC0E1C5B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92F"/>
    <w:pPr>
      <w:tabs>
        <w:tab w:val="center" w:pos="4680"/>
        <w:tab w:val="right" w:pos="9360"/>
      </w:tabs>
    </w:pPr>
  </w:style>
  <w:style w:type="character" w:customStyle="1" w:styleId="HeaderChar">
    <w:name w:val="Header Char"/>
    <w:basedOn w:val="DefaultParagraphFont"/>
    <w:link w:val="Header"/>
    <w:uiPriority w:val="99"/>
    <w:rsid w:val="0043192F"/>
  </w:style>
  <w:style w:type="paragraph" w:styleId="Footer">
    <w:name w:val="footer"/>
    <w:basedOn w:val="Normal"/>
    <w:link w:val="FooterChar"/>
    <w:uiPriority w:val="99"/>
    <w:unhideWhenUsed/>
    <w:rsid w:val="0043192F"/>
    <w:pPr>
      <w:tabs>
        <w:tab w:val="center" w:pos="4680"/>
        <w:tab w:val="right" w:pos="9360"/>
      </w:tabs>
    </w:pPr>
  </w:style>
  <w:style w:type="character" w:customStyle="1" w:styleId="FooterChar">
    <w:name w:val="Footer Char"/>
    <w:basedOn w:val="DefaultParagraphFont"/>
    <w:link w:val="Footer"/>
    <w:uiPriority w:val="99"/>
    <w:rsid w:val="0043192F"/>
  </w:style>
  <w:style w:type="paragraph" w:styleId="ListParagraph">
    <w:name w:val="List Paragraph"/>
    <w:basedOn w:val="Normal"/>
    <w:uiPriority w:val="34"/>
    <w:qFormat/>
    <w:rsid w:val="00D32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5259</TotalTime>
  <Pages>1</Pages>
  <Words>1285</Words>
  <Characters>7331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 Anne</dc:creator>
  <cp:keywords/>
  <dc:description/>
  <cp:lastModifiedBy>Greck, Kimberly</cp:lastModifiedBy>
  <cp:revision>177</cp:revision>
  <dcterms:created xsi:type="dcterms:W3CDTF">2023-04-18T21:46:00Z</dcterms:created>
  <dcterms:modified xsi:type="dcterms:W3CDTF">2023-06-20T17:55:00Z</dcterms:modified>
</cp:coreProperties>
</file>